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A728" w14:textId="21FED25E" w:rsidR="00DB5EAA" w:rsidRP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B5EAA">
        <w:rPr>
          <w:rFonts w:asciiTheme="majorBidi" w:hAnsiTheme="majorBidi" w:cstheme="majorBidi"/>
          <w:b/>
          <w:bCs/>
          <w:sz w:val="28"/>
          <w:szCs w:val="28"/>
        </w:rPr>
        <w:t>Fig. 1</w:t>
      </w:r>
    </w:p>
    <w:p w14:paraId="2570D310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79E4C3" w14:textId="098A9B34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2BB12619" wp14:editId="460F54CA">
            <wp:extent cx="5943600" cy="2080260"/>
            <wp:effectExtent l="0" t="0" r="0" b="0"/>
            <wp:docPr id="38599430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994307" name=""/>
                    <pic:cNvPicPr/>
                  </pic:nvPicPr>
                  <pic:blipFill rotWithShape="1"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b="37778"/>
                    <a:stretch/>
                  </pic:blipFill>
                  <pic:spPr bwMode="auto">
                    <a:xfrm>
                      <a:off x="0" y="0"/>
                      <a:ext cx="5943600" cy="208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9C901" w14:textId="77777777" w:rsidR="00DB5EAA" w:rsidRPr="00060CB2" w:rsidRDefault="00DB5EAA" w:rsidP="00DB5EAA">
      <w:pPr>
        <w:pStyle w:val="BodyText3"/>
        <w:bidi w:val="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>Figure 1.</w:t>
      </w:r>
      <w:r w:rsidRPr="00060CB2">
        <w:rPr>
          <w:rFonts w:asciiTheme="majorBidi" w:hAnsiTheme="majorBidi" w:cstheme="majorBidi"/>
          <w:sz w:val="24"/>
          <w:szCs w:val="24"/>
        </w:rPr>
        <w:t xml:space="preserve"> Schematic illustration of the experimental timeline in the study.</w:t>
      </w:r>
    </w:p>
    <w:p w14:paraId="586F37DF" w14:textId="77777777" w:rsidR="00622105" w:rsidRDefault="00622105"/>
    <w:p w14:paraId="75EF5116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2EBB815" w14:textId="4CEB3223" w:rsidR="00DB5EAA" w:rsidRP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B5EAA">
        <w:rPr>
          <w:rFonts w:asciiTheme="majorBidi" w:hAnsiTheme="majorBidi" w:cstheme="majorBidi"/>
          <w:b/>
          <w:bCs/>
          <w:sz w:val="28"/>
          <w:szCs w:val="28"/>
        </w:rPr>
        <w:t>Fig. 2</w:t>
      </w:r>
    </w:p>
    <w:p w14:paraId="2A249C70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5B07F8B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203F5061" wp14:editId="37FB5C13">
            <wp:extent cx="5943600" cy="3152775"/>
            <wp:effectExtent l="0" t="0" r="0" b="9525"/>
            <wp:docPr id="951542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9CCD7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  <w:r w:rsidRPr="00060CB2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1081FA4" wp14:editId="6FB2AF24">
            <wp:extent cx="5943600" cy="3063240"/>
            <wp:effectExtent l="0" t="0" r="0" b="3810"/>
            <wp:docPr id="501554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429AD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554F95F5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938B61D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34F5ECBE" wp14:editId="598807D1">
            <wp:extent cx="5646420" cy="3078480"/>
            <wp:effectExtent l="0" t="0" r="0" b="7620"/>
            <wp:docPr id="4752865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A3B3C" w14:textId="77777777" w:rsidR="00DB5EAA" w:rsidRPr="00060CB2" w:rsidRDefault="00DB5EAA" w:rsidP="00DB5EA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 xml:space="preserve">Figure 2. </w:t>
      </w:r>
      <w:r w:rsidRPr="00060CB2">
        <w:rPr>
          <w:rFonts w:asciiTheme="majorBidi" w:hAnsiTheme="majorBidi" w:cstheme="majorBidi"/>
          <w:sz w:val="24"/>
          <w:szCs w:val="24"/>
        </w:rPr>
        <w:t xml:space="preserve">Effects of vanillic acid (VA) (25, 50, and 100 mg/kg) and lithium on behavioral parameters in the ketamine-induced mania in rats. (A) Total crossings, (B) central crossings and (C) number of </w:t>
      </w:r>
      <w:proofErr w:type="spellStart"/>
      <w:r w:rsidRPr="00060CB2">
        <w:rPr>
          <w:rFonts w:asciiTheme="majorBidi" w:hAnsiTheme="majorBidi" w:cstheme="majorBidi"/>
          <w:sz w:val="24"/>
          <w:szCs w:val="24"/>
        </w:rPr>
        <w:t>rearings</w:t>
      </w:r>
      <w:proofErr w:type="spellEnd"/>
      <w:r w:rsidRPr="00060CB2">
        <w:rPr>
          <w:rFonts w:asciiTheme="majorBidi" w:hAnsiTheme="majorBidi" w:cstheme="majorBidi"/>
          <w:sz w:val="24"/>
          <w:szCs w:val="24"/>
        </w:rPr>
        <w:t>. Data are expressed as mean ± SD (n = 6 per group). #P &lt; 0.05, ##P &lt; 0.01, ###P &lt; 0.001 versus the vehicle/saline group. *P &lt; 0.05, **P &lt; 0.01, ***P &lt; 0.001 versus the vehicle/ketamine group</w:t>
      </w:r>
      <w:r w:rsidRPr="00060CB2">
        <w:rPr>
          <w:rFonts w:asciiTheme="majorBidi" w:hAnsiTheme="majorBidi" w:cstheme="majorBidi"/>
        </w:rPr>
        <w:t>.</w:t>
      </w:r>
    </w:p>
    <w:p w14:paraId="5CB32486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E3B8131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E8711BA" w14:textId="77777777" w:rsidR="0001647E" w:rsidRDefault="0001647E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D7F5B2E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220E328" w14:textId="2BD82139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B5EAA">
        <w:rPr>
          <w:rFonts w:asciiTheme="majorBidi" w:hAnsiTheme="majorBidi" w:cstheme="majorBidi"/>
          <w:b/>
          <w:bCs/>
          <w:sz w:val="28"/>
          <w:szCs w:val="28"/>
        </w:rPr>
        <w:lastRenderedPageBreak/>
        <w:t>Fig. 3</w:t>
      </w:r>
    </w:p>
    <w:p w14:paraId="6FEF5716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5A263E4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72B17D8F" wp14:editId="1E2ABC68">
            <wp:extent cx="5654040" cy="2788920"/>
            <wp:effectExtent l="0" t="0" r="3810" b="0"/>
            <wp:docPr id="10895110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EFD8A" w14:textId="77777777" w:rsidR="00DB5EAA" w:rsidRPr="00060CB2" w:rsidRDefault="00DB5EAA" w:rsidP="00DB5EA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>Figure 3.</w:t>
      </w:r>
      <w:r w:rsidRPr="00060CB2">
        <w:rPr>
          <w:rFonts w:asciiTheme="majorBidi" w:hAnsiTheme="majorBidi" w:cstheme="majorBidi"/>
          <w:sz w:val="24"/>
          <w:szCs w:val="24"/>
        </w:rPr>
        <w:t xml:space="preserve"> Effects of VA (25, 50, and 100 mg/kg) and lithium on the percentage of spontaneous alternations in the Y-maze test in the ketamine-induced mania in rats. Data are expressed as mean ± SD (n = 6 per group). ###P &lt; 0.001 versus the vehicle/saline group. *P &lt; 0.05, **P &lt; 0.01, ***P &lt; 0.001 versus the vehicle/ketamine group.</w:t>
      </w:r>
    </w:p>
    <w:p w14:paraId="59AAC3B4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4F149BA" w14:textId="7ADC6249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Fig. 4.</w:t>
      </w:r>
    </w:p>
    <w:p w14:paraId="4A5F070F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AD87401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44CF3A08" wp14:editId="5CF22C3B">
            <wp:extent cx="5814060" cy="3063240"/>
            <wp:effectExtent l="0" t="0" r="0" b="3810"/>
            <wp:docPr id="9680791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73EE1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</w:p>
    <w:p w14:paraId="1E64029A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DC47EA5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197BFC7" wp14:editId="45A52828">
            <wp:extent cx="5844540" cy="2971800"/>
            <wp:effectExtent l="0" t="0" r="3810" b="0"/>
            <wp:docPr id="1489425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B82B0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41198CA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21F6B28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5A5E94FA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6C0271D4" wp14:editId="34D5B00D">
            <wp:extent cx="5730240" cy="2994660"/>
            <wp:effectExtent l="0" t="0" r="3810" b="0"/>
            <wp:docPr id="3807755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248A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A34CDA7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6C23B89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4CFBB11" wp14:editId="30483492">
            <wp:extent cx="5943600" cy="2971800"/>
            <wp:effectExtent l="0" t="0" r="0" b="0"/>
            <wp:docPr id="18075770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A59AD" w14:textId="77777777" w:rsidR="00DB5EAA" w:rsidRPr="00060CB2" w:rsidRDefault="00DB5EAA" w:rsidP="00DB5EA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 xml:space="preserve">Figure 4. </w:t>
      </w:r>
      <w:r w:rsidRPr="00060CB2">
        <w:rPr>
          <w:rFonts w:asciiTheme="majorBidi" w:hAnsiTheme="majorBidi" w:cstheme="majorBidi"/>
          <w:sz w:val="24"/>
          <w:szCs w:val="24"/>
        </w:rPr>
        <w:t>Effects of VA (25, 50, and 100 mg/kg) and lithium on oxidative stress and antioxidant parameters in the ketamine-induced mania in cerebral cortex of rats. (A) MDA levels, (B) glutathione (GSH) levels, (C) catalase (CAT) activity and (D) superoxide dismutase</w:t>
      </w:r>
      <w:r w:rsidRPr="00060CB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60CB2">
        <w:rPr>
          <w:rFonts w:asciiTheme="majorBidi" w:hAnsiTheme="majorBidi" w:cstheme="majorBidi"/>
          <w:sz w:val="24"/>
          <w:szCs w:val="24"/>
        </w:rPr>
        <w:t>(SOD) activity. Data are expressed as mean ± SD (n = 4-6 per group). #P &lt; 0.05 and ##P &lt; 0.01 versus the vehicle/saline group. *P &lt; 0.05, **P &lt; 0.01, ***P &lt; 0.001 versus the vehicle/ketamine group</w:t>
      </w:r>
      <w:r w:rsidRPr="00060CB2">
        <w:rPr>
          <w:rFonts w:asciiTheme="majorBidi" w:hAnsiTheme="majorBidi" w:cstheme="majorBidi"/>
        </w:rPr>
        <w:t>.</w:t>
      </w:r>
    </w:p>
    <w:p w14:paraId="73F77235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4F75292" w14:textId="0E6A88EE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Fig. 5.</w:t>
      </w:r>
    </w:p>
    <w:p w14:paraId="1AC28CAC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5AA1C98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1E8CC29C" wp14:editId="19129BCA">
            <wp:extent cx="5905500" cy="2987040"/>
            <wp:effectExtent l="0" t="0" r="0" b="3810"/>
            <wp:docPr id="118504467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7C737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6D425435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  <w:r w:rsidRPr="00060CB2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9EF41F0" wp14:editId="6AC17ECF">
            <wp:extent cx="5806440" cy="2979420"/>
            <wp:effectExtent l="0" t="0" r="3810" b="0"/>
            <wp:docPr id="19323731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5D2E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76F48526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1C2AB753" wp14:editId="2DC7A2C0">
            <wp:extent cx="5920740" cy="3055620"/>
            <wp:effectExtent l="0" t="0" r="3810" b="0"/>
            <wp:docPr id="135553841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50209" w14:textId="77777777" w:rsidR="00DB5EAA" w:rsidRPr="00060CB2" w:rsidRDefault="00DB5EAA" w:rsidP="00DB5EA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 xml:space="preserve">Figure 5. </w:t>
      </w:r>
      <w:r w:rsidRPr="00060CB2">
        <w:rPr>
          <w:rFonts w:asciiTheme="majorBidi" w:hAnsiTheme="majorBidi" w:cstheme="majorBidi"/>
          <w:sz w:val="24"/>
          <w:szCs w:val="24"/>
        </w:rPr>
        <w:t xml:space="preserve">Effects of VA (25, 50, and 100 mg/kg) and lithium on antioxidant markers in the hippocampus of rats in the ketamine-induced mania model. (A) GSH levels, (B) CAT activity, and (C) SOD activity. Data are expressed as mean ± SD (n = 4–6 per group). #P &lt; 0.05, ###P &lt; 0.001 versus the vehicle/saline group. *P &lt; 0.05, **P &lt; 0.01, ***P &lt; 0.001 versus the vehicle/ketamine group. </w:t>
      </w:r>
    </w:p>
    <w:p w14:paraId="5E4BD73A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497B36D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F02EEBC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26A98B6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1A7C63E1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66B8DF8" w14:textId="3E71454D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Fig. 6.</w:t>
      </w:r>
    </w:p>
    <w:p w14:paraId="55BA13E8" w14:textId="77777777" w:rsid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E9F9CC7" w14:textId="77777777" w:rsidR="00DB5EAA" w:rsidRPr="00060CB2" w:rsidRDefault="00DB5EAA" w:rsidP="00DB5EA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060CB2">
        <w:rPr>
          <w:rFonts w:asciiTheme="majorBidi" w:hAnsiTheme="majorBidi" w:cstheme="majorBidi"/>
          <w:noProof/>
        </w:rPr>
        <w:drawing>
          <wp:inline distT="0" distB="0" distL="0" distR="0" wp14:anchorId="3480E30F" wp14:editId="4F938A71">
            <wp:extent cx="5943600" cy="3343275"/>
            <wp:effectExtent l="0" t="0" r="0" b="9525"/>
            <wp:docPr id="127194301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43010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E5789" w14:textId="65DBDBB5" w:rsidR="00DB5EAA" w:rsidRPr="00060CB2" w:rsidRDefault="00DB5EAA" w:rsidP="00DB5EA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0CB2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5A632C">
        <w:rPr>
          <w:rFonts w:asciiTheme="majorBidi" w:hAnsiTheme="majorBidi" w:cstheme="majorBidi"/>
          <w:b/>
          <w:bCs/>
          <w:sz w:val="24"/>
          <w:szCs w:val="24"/>
        </w:rPr>
        <w:t>ure</w:t>
      </w:r>
      <w:r w:rsidRPr="00060CB2">
        <w:rPr>
          <w:rFonts w:asciiTheme="majorBidi" w:hAnsiTheme="majorBidi" w:cstheme="majorBidi"/>
          <w:b/>
          <w:bCs/>
          <w:sz w:val="24"/>
          <w:szCs w:val="24"/>
        </w:rPr>
        <w:t>. 6.</w:t>
      </w:r>
      <w:r w:rsidRPr="00060CB2">
        <w:rPr>
          <w:rFonts w:asciiTheme="majorBidi" w:hAnsiTheme="majorBidi" w:cstheme="majorBidi"/>
          <w:sz w:val="24"/>
          <w:szCs w:val="24"/>
        </w:rPr>
        <w:t xml:space="preserve"> Schematic illustration of the effects of VA on behavioral and oxidative stress parameters in the KET-induced mania-like behavior model.</w:t>
      </w:r>
    </w:p>
    <w:p w14:paraId="6948040D" w14:textId="77777777" w:rsidR="00DB5EAA" w:rsidRPr="00DB5EAA" w:rsidRDefault="00DB5EAA" w:rsidP="00DB5EA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sectPr w:rsidR="00DB5EAA" w:rsidRPr="00DB5EAA" w:rsidSect="005052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0121" w14:textId="77777777" w:rsidR="00F43BFE" w:rsidRDefault="00F43BFE" w:rsidP="00DB5EAA">
      <w:pPr>
        <w:spacing w:after="0" w:line="240" w:lineRule="auto"/>
      </w:pPr>
      <w:r>
        <w:separator/>
      </w:r>
    </w:p>
  </w:endnote>
  <w:endnote w:type="continuationSeparator" w:id="0">
    <w:p w14:paraId="70590B07" w14:textId="77777777" w:rsidR="00F43BFE" w:rsidRDefault="00F43BFE" w:rsidP="00DB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2256" w14:textId="77777777" w:rsidR="00F43BFE" w:rsidRDefault="00F43BFE" w:rsidP="00DB5EAA">
      <w:pPr>
        <w:spacing w:after="0" w:line="240" w:lineRule="auto"/>
      </w:pPr>
      <w:r>
        <w:separator/>
      </w:r>
    </w:p>
  </w:footnote>
  <w:footnote w:type="continuationSeparator" w:id="0">
    <w:p w14:paraId="6B9FF60D" w14:textId="77777777" w:rsidR="00F43BFE" w:rsidRDefault="00F43BFE" w:rsidP="00DB5E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AA"/>
    <w:rsid w:val="0001647E"/>
    <w:rsid w:val="004F6EC5"/>
    <w:rsid w:val="005052F0"/>
    <w:rsid w:val="005A632C"/>
    <w:rsid w:val="00622105"/>
    <w:rsid w:val="006E67B9"/>
    <w:rsid w:val="00761721"/>
    <w:rsid w:val="00963D70"/>
    <w:rsid w:val="00DB5EAA"/>
    <w:rsid w:val="00F41F49"/>
    <w:rsid w:val="00F4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D56B"/>
  <w15:chartTrackingRefBased/>
  <w15:docId w15:val="{D5E11572-DBB2-4549-BFBF-241C7EFC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EAA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EAA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fa-I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A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fa-I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EAA"/>
    <w:pPr>
      <w:keepNext/>
      <w:keepLines/>
      <w:bidi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fa-I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EAA"/>
    <w:pPr>
      <w:keepNext/>
      <w:keepLines/>
      <w:bidi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EAA"/>
    <w:pPr>
      <w:keepNext/>
      <w:keepLines/>
      <w:bidi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EAA"/>
    <w:pPr>
      <w:keepNext/>
      <w:keepLines/>
      <w:bidi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EAA"/>
    <w:pPr>
      <w:keepNext/>
      <w:keepLines/>
      <w:bidi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EAA"/>
    <w:pPr>
      <w:keepNext/>
      <w:keepLines/>
      <w:bidi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fa-I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EAA"/>
    <w:pPr>
      <w:keepNext/>
      <w:keepLines/>
      <w:bidi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E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E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EAA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5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EAA"/>
    <w:pPr>
      <w:numPr>
        <w:ilvl w:val="1"/>
      </w:numPr>
      <w:bidi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5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EAA"/>
    <w:pPr>
      <w:bidi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5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EAA"/>
    <w:pPr>
      <w:bidi/>
      <w:spacing w:line="278" w:lineRule="auto"/>
      <w:ind w:left="720"/>
      <w:contextualSpacing/>
    </w:pPr>
    <w:rPr>
      <w:kern w:val="2"/>
      <w:sz w:val="24"/>
      <w:szCs w:val="24"/>
      <w:lang w:bidi="fa-I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5E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E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EAA"/>
    <w:rPr>
      <w:b/>
      <w:bCs/>
      <w:smallCaps/>
      <w:color w:val="2F5496" w:themeColor="accent1" w:themeShade="BF"/>
      <w:spacing w:val="5"/>
    </w:rPr>
  </w:style>
  <w:style w:type="paragraph" w:styleId="BodyText3">
    <w:name w:val="Body Text 3"/>
    <w:basedOn w:val="Normal"/>
    <w:link w:val="BodyText3Char"/>
    <w:rsid w:val="00DB5EAA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customStyle="1" w:styleId="BodyText3Char">
    <w:name w:val="Body Text 3 Char"/>
    <w:basedOn w:val="DefaultParagraphFont"/>
    <w:link w:val="BodyText3"/>
    <w:rsid w:val="00DB5EAA"/>
    <w:rPr>
      <w:rFonts w:ascii="Times New Roman" w:eastAsia="Times New Roman" w:hAnsi="Times New Roman" w:cs="Traditional Arabic"/>
      <w:kern w:val="0"/>
      <w:sz w:val="20"/>
      <w:szCs w:val="20"/>
      <w:lang w:eastAsia="zh-CN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5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EAA"/>
    <w:rPr>
      <w:kern w:val="0"/>
      <w:sz w:val="22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5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EAA"/>
    <w:rPr>
      <w:kern w:val="0"/>
      <w:sz w:val="22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sv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sv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 win10</dc:creator>
  <cp:keywords/>
  <dc:description/>
  <cp:lastModifiedBy>Dr.Khodayar</cp:lastModifiedBy>
  <cp:revision>3</cp:revision>
  <dcterms:created xsi:type="dcterms:W3CDTF">2026-08-15T09:03:00Z</dcterms:created>
  <dcterms:modified xsi:type="dcterms:W3CDTF">2026-08-17T08:16:00Z</dcterms:modified>
</cp:coreProperties>
</file>