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147B" w14:textId="77777777" w:rsidR="009752F6" w:rsidRDefault="00CB65EF" w:rsidP="00CB65EF">
      <w:pPr>
        <w:spacing w:after="0" w:line="240" w:lineRule="auto"/>
        <w:contextualSpacing/>
        <w:jc w:val="center"/>
        <w:rPr>
          <w:rFonts w:ascii="Times New Roman" w:eastAsia="Times New Roman" w:hAnsi="Times New Roman" w:cs="Times New Roman"/>
          <w:b/>
          <w:bCs/>
          <w:color w:val="000000" w:themeColor="text1"/>
          <w:spacing w:val="2"/>
          <w:kern w:val="16"/>
          <w:sz w:val="48"/>
          <w:szCs w:val="48"/>
        </w:rPr>
      </w:pPr>
      <w:r w:rsidRPr="00CB65EF">
        <w:rPr>
          <w:rFonts w:ascii="Times New Roman" w:eastAsia="Times New Roman" w:hAnsi="Times New Roman" w:cs="Times New Roman"/>
          <w:b/>
          <w:bCs/>
          <w:color w:val="000000" w:themeColor="text1"/>
          <w:spacing w:val="2"/>
          <w:kern w:val="16"/>
          <w:sz w:val="48"/>
          <w:szCs w:val="48"/>
        </w:rPr>
        <w:t xml:space="preserve">Linagliptin as a Protective Agent </w:t>
      </w:r>
    </w:p>
    <w:p w14:paraId="779EC7CE" w14:textId="4F2F7FE9" w:rsidR="00CB65EF" w:rsidRPr="00CB65EF" w:rsidRDefault="00CB65EF" w:rsidP="00CB65EF">
      <w:pPr>
        <w:spacing w:after="0" w:line="240" w:lineRule="auto"/>
        <w:contextualSpacing/>
        <w:jc w:val="center"/>
        <w:rPr>
          <w:rFonts w:ascii="Times New Roman" w:eastAsia="Times New Roman" w:hAnsi="Times New Roman" w:cs="Times New Roman"/>
          <w:b/>
          <w:bCs/>
          <w:color w:val="000000" w:themeColor="text1"/>
          <w:spacing w:val="2"/>
          <w:kern w:val="16"/>
          <w:sz w:val="48"/>
          <w:szCs w:val="48"/>
        </w:rPr>
      </w:pPr>
      <w:r w:rsidRPr="00CB65EF">
        <w:rPr>
          <w:rFonts w:ascii="Times New Roman" w:eastAsia="Times New Roman" w:hAnsi="Times New Roman" w:cs="Times New Roman"/>
          <w:b/>
          <w:bCs/>
          <w:color w:val="000000" w:themeColor="text1"/>
          <w:spacing w:val="2"/>
          <w:kern w:val="16"/>
          <w:sz w:val="48"/>
          <w:szCs w:val="48"/>
        </w:rPr>
        <w:t>Against Mancozeb-Induced Thyroid</w:t>
      </w:r>
      <w:r w:rsidR="009752F6">
        <w:rPr>
          <w:rFonts w:ascii="Times New Roman" w:eastAsia="Times New Roman" w:hAnsi="Times New Roman" w:cs="Times New Roman"/>
          <w:b/>
          <w:bCs/>
          <w:color w:val="000000" w:themeColor="text1"/>
          <w:spacing w:val="2"/>
          <w:kern w:val="16"/>
          <w:sz w:val="48"/>
          <w:szCs w:val="48"/>
        </w:rPr>
        <w:t xml:space="preserve"> </w:t>
      </w:r>
      <w:r w:rsidRPr="00CB65EF">
        <w:rPr>
          <w:rFonts w:ascii="Times New Roman" w:eastAsia="Times New Roman" w:hAnsi="Times New Roman" w:cs="Times New Roman"/>
          <w:b/>
          <w:bCs/>
          <w:color w:val="000000" w:themeColor="text1"/>
          <w:spacing w:val="2"/>
          <w:kern w:val="16"/>
          <w:sz w:val="48"/>
          <w:szCs w:val="48"/>
        </w:rPr>
        <w:t>Dysfunction: Biochemical and Histopathological Evidence in Rats</w:t>
      </w:r>
    </w:p>
    <w:p w14:paraId="65E84259" w14:textId="77777777" w:rsidR="000165B2" w:rsidRPr="00DC4184" w:rsidRDefault="000165B2" w:rsidP="00CF7848">
      <w:pPr>
        <w:spacing w:after="0" w:line="240" w:lineRule="auto"/>
        <w:contextualSpacing/>
        <w:jc w:val="center"/>
        <w:rPr>
          <w:rFonts w:ascii="Times New Roman" w:eastAsia="Times New Roman" w:hAnsi="Times New Roman" w:cs="Times New Roman"/>
          <w:iCs/>
          <w:color w:val="000000" w:themeColor="text1"/>
          <w:spacing w:val="-12"/>
          <w:sz w:val="32"/>
          <w:szCs w:val="32"/>
          <w:lang w:bidi="fa-IR"/>
        </w:rPr>
      </w:pPr>
    </w:p>
    <w:p w14:paraId="1F70797C" w14:textId="77777777" w:rsidR="00CB65EF" w:rsidRDefault="00CB65EF" w:rsidP="00CB65EF">
      <w:pPr>
        <w:spacing w:after="0" w:line="240" w:lineRule="auto"/>
        <w:contextualSpacing/>
        <w:jc w:val="center"/>
        <w:rPr>
          <w:rFonts w:ascii="Times New Roman" w:eastAsia="Times New Roman" w:hAnsi="Times New Roman" w:cs="Times New Roman"/>
          <w:iCs/>
          <w:color w:val="000000" w:themeColor="text1"/>
          <w:spacing w:val="-8"/>
          <w:sz w:val="32"/>
          <w:szCs w:val="32"/>
          <w:lang w:bidi="fa-IR"/>
        </w:rPr>
      </w:pPr>
      <w:r w:rsidRPr="00CB65EF">
        <w:rPr>
          <w:rFonts w:ascii="Times New Roman" w:eastAsia="Times New Roman" w:hAnsi="Times New Roman" w:cs="Times New Roman"/>
          <w:iCs/>
          <w:color w:val="000000" w:themeColor="text1"/>
          <w:spacing w:val="-8"/>
          <w:sz w:val="32"/>
          <w:szCs w:val="32"/>
          <w:lang w:bidi="fa-IR"/>
        </w:rPr>
        <w:t>Sahar Mostafavi</w:t>
      </w:r>
      <w:r w:rsidRPr="00CB65EF">
        <w:rPr>
          <w:rFonts w:ascii="Times New Roman" w:eastAsia="Times New Roman" w:hAnsi="Times New Roman" w:cs="Times New Roman"/>
          <w:iCs/>
          <w:color w:val="000000" w:themeColor="text1"/>
          <w:spacing w:val="-8"/>
          <w:sz w:val="32"/>
          <w:szCs w:val="32"/>
          <w:vertAlign w:val="superscript"/>
          <w:lang w:bidi="fa-IR"/>
        </w:rPr>
        <w:t>1</w:t>
      </w:r>
      <w:r w:rsidRPr="00CB65EF">
        <w:rPr>
          <w:rFonts w:ascii="Times New Roman" w:eastAsia="Times New Roman" w:hAnsi="Times New Roman" w:cs="Times New Roman"/>
          <w:iCs/>
          <w:color w:val="000000" w:themeColor="text1"/>
          <w:spacing w:val="-8"/>
          <w:sz w:val="32"/>
          <w:szCs w:val="32"/>
          <w:lang w:bidi="fa-IR"/>
        </w:rPr>
        <w:t xml:space="preserve">, </w:t>
      </w:r>
      <w:bookmarkStart w:id="0" w:name="_Hlk203832320"/>
      <w:r w:rsidRPr="00CB65EF">
        <w:rPr>
          <w:rFonts w:ascii="Times New Roman" w:eastAsia="Times New Roman" w:hAnsi="Times New Roman" w:cs="Times New Roman"/>
          <w:iCs/>
          <w:color w:val="000000" w:themeColor="text1"/>
          <w:spacing w:val="-8"/>
          <w:sz w:val="32"/>
          <w:szCs w:val="32"/>
          <w:lang w:bidi="fa-IR"/>
        </w:rPr>
        <w:t>Maryam Shirani</w:t>
      </w:r>
      <w:bookmarkEnd w:id="0"/>
      <w:r w:rsidRPr="00CB65EF">
        <w:rPr>
          <w:rFonts w:ascii="Times New Roman" w:eastAsia="Times New Roman" w:hAnsi="Times New Roman" w:cs="Times New Roman"/>
          <w:iCs/>
          <w:color w:val="000000" w:themeColor="text1"/>
          <w:spacing w:val="-8"/>
          <w:sz w:val="32"/>
          <w:szCs w:val="32"/>
          <w:vertAlign w:val="superscript"/>
          <w:lang w:bidi="fa-IR"/>
        </w:rPr>
        <w:t>2</w:t>
      </w:r>
      <w:r w:rsidRPr="00CB65EF">
        <w:rPr>
          <w:rFonts w:ascii="Times New Roman" w:eastAsia="Times New Roman" w:hAnsi="Times New Roman" w:cs="Times New Roman"/>
          <w:iCs/>
          <w:color w:val="000000" w:themeColor="text1"/>
          <w:spacing w:val="-8"/>
          <w:sz w:val="32"/>
          <w:szCs w:val="32"/>
          <w:lang w:bidi="fa-IR"/>
        </w:rPr>
        <w:t xml:space="preserve">, </w:t>
      </w:r>
      <w:bookmarkStart w:id="1" w:name="_Hlk232372716"/>
      <w:r w:rsidRPr="00CB65EF">
        <w:rPr>
          <w:rFonts w:ascii="Times New Roman" w:eastAsia="Times New Roman" w:hAnsi="Times New Roman" w:cs="Times New Roman"/>
          <w:iCs/>
          <w:color w:val="000000" w:themeColor="text1"/>
          <w:spacing w:val="-8"/>
          <w:sz w:val="32"/>
          <w:szCs w:val="32"/>
          <w:lang w:bidi="fa-IR"/>
        </w:rPr>
        <w:t>Mehrnoosh Zakerkish</w:t>
      </w:r>
      <w:bookmarkEnd w:id="1"/>
      <w:r w:rsidRPr="00CB65EF">
        <w:rPr>
          <w:rFonts w:ascii="Times New Roman" w:eastAsia="Times New Roman" w:hAnsi="Times New Roman" w:cs="Times New Roman"/>
          <w:iCs/>
          <w:color w:val="000000" w:themeColor="text1"/>
          <w:spacing w:val="-8"/>
          <w:sz w:val="32"/>
          <w:szCs w:val="32"/>
          <w:lang w:bidi="fa-IR"/>
        </w:rPr>
        <w:t>*</w:t>
      </w:r>
      <w:r w:rsidRPr="00CB65EF">
        <w:rPr>
          <w:rFonts w:ascii="Times New Roman" w:eastAsia="Times New Roman" w:hAnsi="Times New Roman" w:cs="Times New Roman"/>
          <w:iCs/>
          <w:color w:val="000000" w:themeColor="text1"/>
          <w:spacing w:val="-8"/>
          <w:sz w:val="32"/>
          <w:szCs w:val="32"/>
          <w:vertAlign w:val="superscript"/>
          <w:lang w:bidi="fa-IR"/>
        </w:rPr>
        <w:t>1</w:t>
      </w:r>
      <w:r w:rsidRPr="00CB65EF">
        <w:rPr>
          <w:rFonts w:ascii="Times New Roman" w:eastAsia="Times New Roman" w:hAnsi="Times New Roman" w:cs="Times New Roman"/>
          <w:iCs/>
          <w:color w:val="000000" w:themeColor="text1"/>
          <w:spacing w:val="-8"/>
          <w:sz w:val="32"/>
          <w:szCs w:val="32"/>
          <w:lang w:bidi="fa-IR"/>
        </w:rPr>
        <w:t xml:space="preserve">, </w:t>
      </w:r>
    </w:p>
    <w:p w14:paraId="7B4B0AB5" w14:textId="2D653A0B" w:rsidR="00CB65EF" w:rsidRPr="00CB65EF" w:rsidRDefault="00CB65EF" w:rsidP="00CB65EF">
      <w:pPr>
        <w:spacing w:after="0" w:line="240" w:lineRule="auto"/>
        <w:contextualSpacing/>
        <w:jc w:val="center"/>
        <w:rPr>
          <w:rFonts w:ascii="Times New Roman" w:eastAsia="Times New Roman" w:hAnsi="Times New Roman" w:cs="Times New Roman"/>
          <w:iCs/>
          <w:color w:val="000000" w:themeColor="text1"/>
          <w:spacing w:val="-8"/>
          <w:sz w:val="32"/>
          <w:szCs w:val="32"/>
          <w:lang w:bidi="fa-IR"/>
        </w:rPr>
      </w:pPr>
      <w:r w:rsidRPr="00CB65EF">
        <w:rPr>
          <w:rFonts w:ascii="Times New Roman" w:eastAsia="Times New Roman" w:hAnsi="Times New Roman" w:cs="Times New Roman"/>
          <w:iCs/>
          <w:color w:val="000000" w:themeColor="text1"/>
          <w:spacing w:val="-8"/>
          <w:sz w:val="32"/>
          <w:szCs w:val="32"/>
          <w:lang w:bidi="fa-IR"/>
        </w:rPr>
        <w:t>Sirous Rafiei Asl</w:t>
      </w:r>
      <w:r w:rsidRPr="00CB65EF">
        <w:rPr>
          <w:rFonts w:ascii="Times New Roman" w:eastAsia="Times New Roman" w:hAnsi="Times New Roman" w:cs="Times New Roman"/>
          <w:iCs/>
          <w:color w:val="000000" w:themeColor="text1"/>
          <w:spacing w:val="-8"/>
          <w:sz w:val="32"/>
          <w:szCs w:val="32"/>
          <w:vertAlign w:val="superscript"/>
          <w:lang w:bidi="fa-IR"/>
        </w:rPr>
        <w:t>3</w:t>
      </w:r>
      <w:r w:rsidRPr="00CB65EF">
        <w:rPr>
          <w:rFonts w:ascii="Times New Roman" w:eastAsia="Times New Roman" w:hAnsi="Times New Roman" w:cs="Times New Roman"/>
          <w:iCs/>
          <w:color w:val="000000" w:themeColor="text1"/>
          <w:spacing w:val="-8"/>
          <w:sz w:val="32"/>
          <w:szCs w:val="32"/>
          <w:lang w:bidi="fa-IR"/>
        </w:rPr>
        <w:t>, Zahra Farhangian</w:t>
      </w:r>
      <w:r w:rsidRPr="00CB65EF">
        <w:rPr>
          <w:rFonts w:ascii="Times New Roman" w:eastAsia="Times New Roman" w:hAnsi="Times New Roman" w:cs="Times New Roman"/>
          <w:iCs/>
          <w:color w:val="000000" w:themeColor="text1"/>
          <w:spacing w:val="-8"/>
          <w:sz w:val="32"/>
          <w:szCs w:val="32"/>
          <w:vertAlign w:val="superscript"/>
          <w:lang w:bidi="fa-IR"/>
        </w:rPr>
        <w:t>1</w:t>
      </w:r>
    </w:p>
    <w:p w14:paraId="0D47D1A8" w14:textId="6FF55B08" w:rsidR="00D44C5F" w:rsidRPr="00F07D4C" w:rsidRDefault="00A47277" w:rsidP="00293824">
      <w:pPr>
        <w:spacing w:after="0" w:line="240" w:lineRule="auto"/>
        <w:contextualSpacing/>
        <w:jc w:val="center"/>
        <w:rPr>
          <w:rFonts w:ascii="Times New Roman" w:eastAsia="Times New Roman" w:hAnsi="Times New Roman" w:cs="Times New Roman"/>
          <w:color w:val="000000" w:themeColor="text1"/>
          <w:spacing w:val="-6"/>
          <w:sz w:val="32"/>
          <w:szCs w:val="32"/>
          <w:rtl/>
          <w:lang w:bidi="fa-IR"/>
        </w:rPr>
      </w:pPr>
      <w:r w:rsidRPr="00A47277">
        <w:rPr>
          <w:rFonts w:ascii="Times New Roman" w:eastAsia="Times New Roman" w:hAnsi="Times New Roman" w:cs="Times New Roman"/>
          <w:noProof/>
          <w:color w:val="000000" w:themeColor="text1"/>
          <w:spacing w:val="-14"/>
          <w:sz w:val="24"/>
          <w:szCs w:val="24"/>
          <w:lang w:bidi="fa-IR"/>
        </w:rPr>
        <w:pict w14:anchorId="72CFC3B9">
          <v:rect id="_x0000_i1026" alt="" style="width:481.95pt;height:1.5pt;mso-width-percent:0;mso-height-percent:0;mso-width-percent:0;mso-height-percent:0" o:hralign="center" o:hrstd="t" o:hrnoshade="t" o:hr="t" fillcolor="#0f243e" stroked="f"/>
        </w:pict>
      </w:r>
    </w:p>
    <w:p w14:paraId="1742C3C5" w14:textId="77777777" w:rsidR="00D44C5F" w:rsidRPr="00F07D4C" w:rsidRDefault="00D44C5F" w:rsidP="00D604AC">
      <w:pPr>
        <w:tabs>
          <w:tab w:val="left" w:pos="7931"/>
        </w:tabs>
        <w:spacing w:line="240" w:lineRule="auto"/>
        <w:outlineLvl w:val="0"/>
        <w:rPr>
          <w:rFonts w:ascii="Times New Roman" w:eastAsia="Times New Roman" w:hAnsi="Times New Roman" w:cs="Times New Roman"/>
          <w:b/>
          <w:bCs/>
          <w:color w:val="000000" w:themeColor="text1"/>
          <w:spacing w:val="-6"/>
          <w:sz w:val="28"/>
          <w:szCs w:val="28"/>
          <w:lang w:bidi="fa-IR"/>
        </w:rPr>
      </w:pPr>
      <w:r w:rsidRPr="00F07D4C">
        <w:rPr>
          <w:rFonts w:ascii="Times New Roman" w:eastAsia="Times New Roman" w:hAnsi="Times New Roman" w:cs="Times New Roman"/>
          <w:b/>
          <w:bCs/>
          <w:color w:val="000000" w:themeColor="text1"/>
          <w:spacing w:val="-6"/>
          <w:sz w:val="28"/>
          <w:szCs w:val="28"/>
          <w:lang w:bidi="fa-IR"/>
        </w:rPr>
        <w:t>Abstract</w:t>
      </w:r>
    </w:p>
    <w:p w14:paraId="48AD262F" w14:textId="77777777" w:rsidR="00312A83" w:rsidRPr="00312A83" w:rsidRDefault="00230036" w:rsidP="00312A83">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bidi="en-US"/>
        </w:rPr>
      </w:pPr>
      <w:r w:rsidRPr="00F07D4C">
        <w:rPr>
          <w:rFonts w:ascii="Times New Roman" w:eastAsia="Times New Roman" w:hAnsi="Times New Roman" w:cs="Times New Roman"/>
          <w:b/>
          <w:bCs/>
          <w:i/>
          <w:color w:val="000000" w:themeColor="text1"/>
          <w:spacing w:val="-8"/>
          <w:sz w:val="24"/>
          <w:szCs w:val="24"/>
          <w:lang w:val="en-GB" w:bidi="en-US"/>
        </w:rPr>
        <w:t>Background:</w:t>
      </w:r>
      <w:r w:rsidR="00C02CB2" w:rsidRPr="00F07D4C">
        <w:rPr>
          <w:rFonts w:ascii="Times New Roman" w:eastAsia="Times New Roman" w:hAnsi="Times New Roman" w:cs="Times New Roman"/>
          <w:bCs/>
          <w:color w:val="000000" w:themeColor="text1"/>
          <w:spacing w:val="-8"/>
          <w:sz w:val="24"/>
          <w:szCs w:val="24"/>
          <w:lang w:val="en-GB" w:bidi="en-US"/>
        </w:rPr>
        <w:t xml:space="preserve"> </w:t>
      </w:r>
      <w:r w:rsidR="00312A83" w:rsidRPr="00312A83">
        <w:rPr>
          <w:rFonts w:ascii="Times New Roman" w:eastAsia="Times New Roman" w:hAnsi="Times New Roman" w:cs="Times New Roman"/>
          <w:bCs/>
          <w:color w:val="000000" w:themeColor="text1"/>
          <w:spacing w:val="-4"/>
          <w:sz w:val="24"/>
          <w:szCs w:val="24"/>
          <w:lang w:bidi="en-US"/>
        </w:rPr>
        <w:t>Mancozeb (MNZ), a broad-spectrum fungicide, is known to induce oxidative stress and thyroid dysfunction. Linagliptin (Lina), a dipeptidyl peptidase-4 (DPP-4) inhibitor used in diabetes treatment, with antioxidant and anti-inflammatory properties, may offer protection against MNZ-induced thyroid damage. This study aimed to evaluate the protective effects of Lina in combination with MNZ on thyroid function, oxidative stress markers, and histopathology in rats.</w:t>
      </w:r>
    </w:p>
    <w:p w14:paraId="359EBA08" w14:textId="76D560AB" w:rsidR="00312A83" w:rsidRPr="00312A83" w:rsidRDefault="00312A83" w:rsidP="00312A83">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bidi="en-US"/>
        </w:rPr>
      </w:pPr>
      <w:r w:rsidRPr="00312A83">
        <w:rPr>
          <w:rFonts w:ascii="Times New Roman" w:eastAsia="Times New Roman" w:hAnsi="Times New Roman" w:cs="Times New Roman"/>
          <w:b/>
          <w:bCs/>
          <w:i/>
          <w:iCs/>
          <w:color w:val="000000" w:themeColor="text1"/>
          <w:spacing w:val="-4"/>
          <w:sz w:val="24"/>
          <w:szCs w:val="24"/>
          <w:lang w:bidi="en-US"/>
        </w:rPr>
        <w:t>Methods:</w:t>
      </w:r>
      <w:r w:rsidRPr="00312A83">
        <w:rPr>
          <w:rFonts w:ascii="Times New Roman" w:eastAsia="Times New Roman" w:hAnsi="Times New Roman" w:cs="Times New Roman"/>
          <w:b/>
          <w:bCs/>
          <w:color w:val="000000" w:themeColor="text1"/>
          <w:spacing w:val="-4"/>
          <w:sz w:val="24"/>
          <w:szCs w:val="24"/>
          <w:lang w:bidi="en-US"/>
        </w:rPr>
        <w:t xml:space="preserve"> </w:t>
      </w:r>
      <w:r w:rsidRPr="00312A83">
        <w:rPr>
          <w:rFonts w:ascii="Times New Roman" w:eastAsia="Times New Roman" w:hAnsi="Times New Roman" w:cs="Times New Roman"/>
          <w:bCs/>
          <w:color w:val="000000" w:themeColor="text1"/>
          <w:spacing w:val="-4"/>
          <w:sz w:val="24"/>
          <w:szCs w:val="24"/>
          <w:lang w:bidi="en-US"/>
        </w:rPr>
        <w:t>Fifty-four Wistar rats were randomly divided into six groups and treated for six weeks with oral Lina and/or intraperitoneal MNZ, with appropriate controls. Serum levels of thyroid hormones (T3, T4), TSH, and thyroid tissue oxidative stress markers were quantified using ELISA kits. Histopathological changes, including hyperplasia and hypertrophy, were examined. Data were analyzed by one-way ANOVA followed by Tukey’s post-hoc test (</w:t>
      </w:r>
      <w:r w:rsidR="009752F6">
        <w:rPr>
          <w:rFonts w:ascii="Times New Roman" w:eastAsia="Times New Roman" w:hAnsi="Times New Roman" w:cs="Times New Roman"/>
          <w:bCs/>
          <w:color w:val="000000" w:themeColor="text1"/>
          <w:spacing w:val="-4"/>
          <w:sz w:val="24"/>
          <w:szCs w:val="24"/>
          <w:lang w:bidi="en-US"/>
        </w:rPr>
        <w:t>p&lt;</w:t>
      </w:r>
      <w:r w:rsidRPr="00312A83">
        <w:rPr>
          <w:rFonts w:ascii="Times New Roman" w:eastAsia="Times New Roman" w:hAnsi="Times New Roman" w:cs="Times New Roman"/>
          <w:bCs/>
          <w:color w:val="000000" w:themeColor="text1"/>
          <w:spacing w:val="-4"/>
          <w:sz w:val="24"/>
          <w:szCs w:val="24"/>
          <w:lang w:bidi="en-US"/>
        </w:rPr>
        <w:t xml:space="preserve"> 0.05).</w:t>
      </w:r>
    </w:p>
    <w:p w14:paraId="2553A065" w14:textId="77777777" w:rsidR="00312A83" w:rsidRPr="00312A83" w:rsidRDefault="00312A83" w:rsidP="00312A83">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bidi="en-US"/>
        </w:rPr>
      </w:pPr>
      <w:r w:rsidRPr="00312A83">
        <w:rPr>
          <w:rFonts w:ascii="Times New Roman" w:eastAsia="Times New Roman" w:hAnsi="Times New Roman" w:cs="Times New Roman"/>
          <w:b/>
          <w:bCs/>
          <w:i/>
          <w:iCs/>
          <w:color w:val="000000" w:themeColor="text1"/>
          <w:spacing w:val="-4"/>
          <w:sz w:val="24"/>
          <w:szCs w:val="24"/>
          <w:lang w:bidi="en-US"/>
        </w:rPr>
        <w:t>Results:</w:t>
      </w:r>
      <w:r w:rsidRPr="00312A83">
        <w:rPr>
          <w:rFonts w:ascii="Times New Roman" w:eastAsia="Times New Roman" w:hAnsi="Times New Roman" w:cs="Times New Roman"/>
          <w:b/>
          <w:bCs/>
          <w:color w:val="000000" w:themeColor="text1"/>
          <w:spacing w:val="-4"/>
          <w:sz w:val="24"/>
          <w:szCs w:val="24"/>
          <w:lang w:bidi="en-US"/>
        </w:rPr>
        <w:t xml:space="preserve"> </w:t>
      </w:r>
      <w:r w:rsidRPr="00312A83">
        <w:rPr>
          <w:rFonts w:ascii="Times New Roman" w:eastAsia="Times New Roman" w:hAnsi="Times New Roman" w:cs="Times New Roman"/>
          <w:bCs/>
          <w:color w:val="000000" w:themeColor="text1"/>
          <w:spacing w:val="-4"/>
          <w:sz w:val="24"/>
          <w:szCs w:val="24"/>
          <w:lang w:bidi="en-US"/>
        </w:rPr>
        <w:t>Mancozeb (MNZ) exposure significantly decreased T3 and T4 levels, increased TSH, elevated malondialdehyde (MDA), and reduced antioxidant enzymes (catalase [CAT], superoxide dismutase [SOD]) and total thiol content. Co-administration of Lina (20 mg/kg) markedly increased antioxidant enzyme activities and total thiol, lowered MDA, improved thyroid hormone profiles, attenuated TSH elevation, and reduced histopathological damage in the thyroid gland. Lower doses of Lina showed limited protective effects.</w:t>
      </w:r>
    </w:p>
    <w:p w14:paraId="143D1437" w14:textId="77777777" w:rsidR="00312A83" w:rsidRPr="00312A83" w:rsidRDefault="00312A83" w:rsidP="00312A83">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bidi="en-US"/>
        </w:rPr>
      </w:pPr>
      <w:r w:rsidRPr="00312A83">
        <w:rPr>
          <w:rFonts w:ascii="Times New Roman" w:eastAsia="Times New Roman" w:hAnsi="Times New Roman" w:cs="Times New Roman"/>
          <w:b/>
          <w:bCs/>
          <w:i/>
          <w:iCs/>
          <w:color w:val="000000" w:themeColor="text1"/>
          <w:spacing w:val="-4"/>
          <w:sz w:val="24"/>
          <w:szCs w:val="24"/>
          <w:lang w:bidi="en-US"/>
        </w:rPr>
        <w:t>Conclusion:</w:t>
      </w:r>
      <w:r w:rsidRPr="00312A83">
        <w:rPr>
          <w:rFonts w:ascii="Times New Roman" w:eastAsia="Times New Roman" w:hAnsi="Times New Roman" w:cs="Times New Roman"/>
          <w:b/>
          <w:bCs/>
          <w:color w:val="000000" w:themeColor="text1"/>
          <w:spacing w:val="-4"/>
          <w:sz w:val="24"/>
          <w:szCs w:val="24"/>
          <w:lang w:bidi="en-US"/>
        </w:rPr>
        <w:t xml:space="preserve"> </w:t>
      </w:r>
      <w:r w:rsidRPr="00312A83">
        <w:rPr>
          <w:rFonts w:ascii="Times New Roman" w:eastAsia="Times New Roman" w:hAnsi="Times New Roman" w:cs="Times New Roman"/>
          <w:bCs/>
          <w:color w:val="000000" w:themeColor="text1"/>
          <w:spacing w:val="-4"/>
          <w:sz w:val="24"/>
          <w:szCs w:val="24"/>
          <w:lang w:bidi="en-US"/>
        </w:rPr>
        <w:t>Mancozeb (MNZ) induces oxidative stress and mild thyroid dysfunction in rats, while Lina exerts protective effects by enhancing antioxidant defenses, restoring hormonal balance, and preserving thyroid tissue structure. These findings suggest Lina’s potential as a therapeutic agent to mitigate thyroid damage caused by oxidative stress-related environmental toxins such as MNZ.</w:t>
      </w:r>
    </w:p>
    <w:p w14:paraId="70A41321" w14:textId="063D4D70" w:rsidR="00DA505F" w:rsidRPr="00F07D4C" w:rsidRDefault="00DA505F" w:rsidP="00312A83">
      <w:pPr>
        <w:tabs>
          <w:tab w:val="left" w:pos="7931"/>
        </w:tabs>
        <w:spacing w:after="0" w:line="240" w:lineRule="auto"/>
        <w:jc w:val="lowKashida"/>
        <w:rPr>
          <w:rFonts w:ascii="Times New Roman" w:eastAsia="Times New Roman" w:hAnsi="Times New Roman" w:cs="Times New Roman"/>
          <w:bCs/>
          <w:color w:val="000000" w:themeColor="text1"/>
          <w:spacing w:val="-6"/>
          <w:sz w:val="24"/>
          <w:szCs w:val="24"/>
          <w:lang w:bidi="en-US"/>
        </w:rPr>
      </w:pPr>
    </w:p>
    <w:p w14:paraId="6BB32796" w14:textId="59212D31" w:rsidR="007F2896" w:rsidRPr="007F2896" w:rsidRDefault="00D44C5F" w:rsidP="00312A83">
      <w:pPr>
        <w:tabs>
          <w:tab w:val="left" w:pos="7931"/>
        </w:tabs>
        <w:spacing w:after="0" w:line="240" w:lineRule="auto"/>
        <w:jc w:val="lowKashida"/>
        <w:rPr>
          <w:rFonts w:ascii="Times New Roman" w:hAnsi="Times New Roman" w:cs="Times New Roman"/>
          <w:iCs/>
          <w:color w:val="000000" w:themeColor="text1"/>
          <w:spacing w:val="-6"/>
          <w:sz w:val="24"/>
          <w:szCs w:val="24"/>
          <w:lang w:bidi="fa-IR"/>
        </w:rPr>
      </w:pPr>
      <w:r w:rsidRPr="00F07D4C">
        <w:rPr>
          <w:rFonts w:ascii="Times New Roman" w:eastAsia="Times New Roman" w:hAnsi="Times New Roman" w:cs="Times New Roman"/>
          <w:b/>
          <w:bCs/>
          <w:color w:val="000000" w:themeColor="text1"/>
          <w:spacing w:val="-6"/>
          <w:sz w:val="24"/>
          <w:szCs w:val="24"/>
          <w:lang w:val="en-GB" w:bidi="fa-IR"/>
        </w:rPr>
        <w:t>Keywords</w:t>
      </w:r>
      <w:r w:rsidRPr="00F07D4C">
        <w:rPr>
          <w:rFonts w:ascii="Times New Roman" w:eastAsia="Times New Roman" w:hAnsi="Times New Roman" w:cs="Times New Roman"/>
          <w:b/>
          <w:color w:val="000000" w:themeColor="text1"/>
          <w:spacing w:val="-6"/>
          <w:sz w:val="24"/>
          <w:szCs w:val="24"/>
          <w:lang w:val="en-GB" w:bidi="fa-IR"/>
        </w:rPr>
        <w:t>:</w:t>
      </w:r>
      <w:r w:rsidR="00001B9C" w:rsidRPr="00F07D4C">
        <w:rPr>
          <w:rFonts w:asciiTheme="majorBidi" w:eastAsiaTheme="minorHAnsi" w:hAnsiTheme="majorBidi" w:cstheme="majorBidi"/>
          <w:color w:val="000000" w:themeColor="text1"/>
          <w:sz w:val="24"/>
          <w:szCs w:val="24"/>
        </w:rPr>
        <w:t xml:space="preserve"> </w:t>
      </w:r>
      <w:r w:rsidR="00312A83" w:rsidRPr="00312A83">
        <w:rPr>
          <w:rFonts w:ascii="Times New Roman" w:hAnsi="Times New Roman" w:cs="Times New Roman"/>
          <w:iCs/>
          <w:color w:val="000000" w:themeColor="text1"/>
          <w:spacing w:val="-6"/>
          <w:sz w:val="24"/>
          <w:szCs w:val="24"/>
          <w:lang w:bidi="fa-IR"/>
        </w:rPr>
        <w:t>Linagliptin, Mancozeb, Oxidative Stress, Protective Agents, Thyroid Gland.</w:t>
      </w:r>
    </w:p>
    <w:p w14:paraId="5B812E6F" w14:textId="126FAC21" w:rsidR="00D44C5F" w:rsidRPr="00F07D4C" w:rsidRDefault="00A47277" w:rsidP="00102AFC">
      <w:pPr>
        <w:tabs>
          <w:tab w:val="left" w:pos="7931"/>
        </w:tabs>
        <w:spacing w:after="0" w:line="240" w:lineRule="auto"/>
        <w:jc w:val="lowKashida"/>
        <w:rPr>
          <w:rFonts w:ascii="Times New Roman" w:hAnsi="Times New Roman" w:cs="Times New Roman"/>
          <w:iCs/>
          <w:color w:val="000000" w:themeColor="text1"/>
          <w:spacing w:val="-6"/>
          <w:sz w:val="24"/>
          <w:szCs w:val="24"/>
          <w:lang w:bidi="fa-IR"/>
        </w:rPr>
        <w:sectPr w:rsidR="00D44C5F" w:rsidRPr="00F07D4C" w:rsidSect="004F208D">
          <w:headerReference w:type="even" r:id="rId8"/>
          <w:headerReference w:type="default" r:id="rId9"/>
          <w:footerReference w:type="even" r:id="rId10"/>
          <w:footerReference w:type="default" r:id="rId11"/>
          <w:headerReference w:type="first" r:id="rId12"/>
          <w:footerReference w:type="first" r:id="rId13"/>
          <w:pgSz w:w="11907" w:h="16840" w:code="9"/>
          <w:pgMar w:top="1588" w:right="1134" w:bottom="1588" w:left="1134" w:header="680" w:footer="680" w:gutter="0"/>
          <w:pgNumType w:start="250" w:chapStyle="1"/>
          <w:cols w:space="720"/>
          <w:titlePg/>
          <w:docGrid w:linePitch="360"/>
        </w:sectPr>
      </w:pPr>
      <w:r w:rsidRPr="00A47277">
        <w:rPr>
          <w:rFonts w:ascii="Times New Roman" w:eastAsia="Times New Roman" w:hAnsi="Times New Roman" w:cs="Times New Roman"/>
          <w:noProof/>
          <w:color w:val="000000" w:themeColor="text1"/>
          <w:sz w:val="24"/>
          <w:szCs w:val="24"/>
        </w:rPr>
        <w:pict w14:anchorId="388A9EE9">
          <v:rect id="_x0000_i1025" alt="" style="width:481.95pt;height:1.5pt;mso-width-percent:0;mso-height-percent:0;mso-width-percent:0;mso-height-percent:0" o:hralign="center" o:hrstd="t" o:hrnoshade="t" o:hr="t" fillcolor="#0f243e" stroked="f"/>
        </w:pict>
      </w:r>
    </w:p>
    <w:p w14:paraId="05DF4460" w14:textId="77777777" w:rsidR="004C3C3B" w:rsidRPr="00DA505F" w:rsidRDefault="004C3C3B" w:rsidP="00453D63">
      <w:pPr>
        <w:spacing w:before="240" w:line="240" w:lineRule="auto"/>
        <w:contextualSpacing/>
        <w:jc w:val="both"/>
        <w:outlineLvl w:val="0"/>
        <w:rPr>
          <w:rFonts w:ascii="Times New Roman" w:eastAsia="Times New Roman" w:hAnsi="Times New Roman" w:cs="Times New Roman"/>
          <w:bCs/>
          <w:color w:val="000000" w:themeColor="text1"/>
          <w:spacing w:val="-6"/>
          <w:sz w:val="10"/>
          <w:szCs w:val="10"/>
        </w:rPr>
      </w:pPr>
    </w:p>
    <w:p w14:paraId="5AD12649" w14:textId="77777777" w:rsidR="006B1FAD" w:rsidRPr="00F07D4C" w:rsidRDefault="00D44C5F" w:rsidP="00DA505F">
      <w:pPr>
        <w:spacing w:after="0" w:line="240" w:lineRule="auto"/>
        <w:contextualSpacing/>
        <w:jc w:val="both"/>
        <w:outlineLvl w:val="0"/>
        <w:rPr>
          <w:rFonts w:ascii="Times New Roman" w:eastAsia="Times New Roman" w:hAnsi="Times New Roman" w:cs="Times New Roman"/>
          <w:b/>
          <w:color w:val="000000" w:themeColor="text1"/>
          <w:spacing w:val="-6"/>
          <w:sz w:val="28"/>
          <w:szCs w:val="28"/>
        </w:rPr>
      </w:pPr>
      <w:r w:rsidRPr="00F07D4C">
        <w:rPr>
          <w:rFonts w:ascii="Times New Roman" w:eastAsia="Times New Roman" w:hAnsi="Times New Roman" w:cs="Times New Roman"/>
          <w:b/>
          <w:color w:val="000000" w:themeColor="text1"/>
          <w:spacing w:val="-6"/>
          <w:sz w:val="28"/>
          <w:szCs w:val="28"/>
        </w:rPr>
        <w:t>Introduction</w:t>
      </w:r>
    </w:p>
    <w:p w14:paraId="0893778C" w14:textId="2C377774" w:rsidR="00312A83" w:rsidRDefault="00312A83" w:rsidP="00312A83">
      <w:pPr>
        <w:tabs>
          <w:tab w:val="left" w:pos="284"/>
        </w:tabs>
        <w:spacing w:after="0" w:line="240" w:lineRule="auto"/>
        <w:contextualSpacing/>
        <w:jc w:val="both"/>
        <w:outlineLvl w:val="0"/>
        <w:rPr>
          <w:rFonts w:ascii="Times New Roman" w:hAnsi="Times New Roman" w:cs="Times New Roman"/>
          <w:bCs/>
          <w:color w:val="000000" w:themeColor="text1"/>
          <w:sz w:val="24"/>
          <w:szCs w:val="24"/>
        </w:rPr>
      </w:pPr>
      <w:r w:rsidRPr="00312A83">
        <w:rPr>
          <w:rFonts w:ascii="Times New Roman" w:hAnsi="Times New Roman" w:cs="Times New Roman"/>
          <w:bCs/>
          <w:color w:val="000000" w:themeColor="text1"/>
          <w:sz w:val="24"/>
          <w:szCs w:val="24"/>
        </w:rPr>
        <w:t>The thyroid gland, a vital component of the endocrine system, plays a fundamental role in maintaining metabolic homeostasis through the</w:t>
      </w:r>
      <w:r w:rsidRPr="00312A83">
        <w:rPr>
          <w:rFonts w:ascii="Times New Roman" w:hAnsi="Times New Roman" w:cs="Times New Roman"/>
          <w:bCs/>
          <w:color w:val="000000" w:themeColor="text1"/>
          <w:spacing w:val="200"/>
          <w:sz w:val="24"/>
          <w:szCs w:val="24"/>
        </w:rPr>
        <w:t xml:space="preserve"> </w:t>
      </w:r>
      <w:r w:rsidRPr="00312A83">
        <w:rPr>
          <w:rFonts w:ascii="Times New Roman" w:hAnsi="Times New Roman" w:cs="Times New Roman"/>
          <w:bCs/>
          <w:color w:val="000000" w:themeColor="text1"/>
          <w:sz w:val="24"/>
          <w:szCs w:val="24"/>
        </w:rPr>
        <w:t>synthesis</w:t>
      </w:r>
      <w:r w:rsidRPr="00312A83">
        <w:rPr>
          <w:rFonts w:ascii="Times New Roman" w:hAnsi="Times New Roman" w:cs="Times New Roman"/>
          <w:bCs/>
          <w:color w:val="000000" w:themeColor="text1"/>
          <w:spacing w:val="160"/>
          <w:sz w:val="24"/>
          <w:szCs w:val="24"/>
        </w:rPr>
        <w:t xml:space="preserve"> </w:t>
      </w:r>
      <w:r w:rsidRPr="00312A83">
        <w:rPr>
          <w:rFonts w:ascii="Times New Roman" w:hAnsi="Times New Roman" w:cs="Times New Roman"/>
          <w:bCs/>
          <w:color w:val="000000" w:themeColor="text1"/>
          <w:sz w:val="24"/>
          <w:szCs w:val="24"/>
        </w:rPr>
        <w:t>and</w:t>
      </w:r>
      <w:r w:rsidRPr="00312A83">
        <w:rPr>
          <w:rFonts w:ascii="Times New Roman" w:hAnsi="Times New Roman" w:cs="Times New Roman"/>
          <w:bCs/>
          <w:color w:val="000000" w:themeColor="text1"/>
          <w:spacing w:val="160"/>
          <w:sz w:val="24"/>
          <w:szCs w:val="24"/>
        </w:rPr>
        <w:t xml:space="preserve"> </w:t>
      </w:r>
      <w:r w:rsidRPr="00312A83">
        <w:rPr>
          <w:rFonts w:ascii="Times New Roman" w:hAnsi="Times New Roman" w:cs="Times New Roman"/>
          <w:bCs/>
          <w:color w:val="000000" w:themeColor="text1"/>
          <w:sz w:val="24"/>
          <w:szCs w:val="24"/>
        </w:rPr>
        <w:t>secretion</w:t>
      </w:r>
      <w:r w:rsidRPr="00312A83">
        <w:rPr>
          <w:rFonts w:ascii="Times New Roman" w:hAnsi="Times New Roman" w:cs="Times New Roman"/>
          <w:bCs/>
          <w:color w:val="000000" w:themeColor="text1"/>
          <w:spacing w:val="200"/>
          <w:sz w:val="24"/>
          <w:szCs w:val="24"/>
        </w:rPr>
        <w:t xml:space="preserve"> </w:t>
      </w:r>
      <w:r w:rsidRPr="00312A83">
        <w:rPr>
          <w:rFonts w:ascii="Times New Roman" w:hAnsi="Times New Roman" w:cs="Times New Roman"/>
          <w:bCs/>
          <w:color w:val="000000" w:themeColor="text1"/>
          <w:sz w:val="24"/>
          <w:szCs w:val="24"/>
        </w:rPr>
        <w:t>of</w:t>
      </w:r>
      <w:r w:rsidRPr="00312A83">
        <w:rPr>
          <w:rFonts w:ascii="Times New Roman" w:hAnsi="Times New Roman" w:cs="Times New Roman"/>
          <w:bCs/>
          <w:color w:val="000000" w:themeColor="text1"/>
          <w:spacing w:val="200"/>
          <w:sz w:val="24"/>
          <w:szCs w:val="24"/>
        </w:rPr>
        <w:t xml:space="preserve"> </w:t>
      </w:r>
      <w:r w:rsidRPr="00312A83">
        <w:rPr>
          <w:rFonts w:ascii="Times New Roman" w:hAnsi="Times New Roman" w:cs="Times New Roman"/>
          <w:bCs/>
          <w:color w:val="000000" w:themeColor="text1"/>
          <w:sz w:val="24"/>
          <w:szCs w:val="24"/>
        </w:rPr>
        <w:t xml:space="preserve">thyroid </w:t>
      </w:r>
    </w:p>
    <w:p w14:paraId="5A5193F7" w14:textId="77777777" w:rsidR="00312A83" w:rsidRDefault="00312A83" w:rsidP="00312A83">
      <w:pPr>
        <w:tabs>
          <w:tab w:val="left" w:pos="284"/>
        </w:tabs>
        <w:spacing w:after="0" w:line="240" w:lineRule="auto"/>
        <w:contextualSpacing/>
        <w:jc w:val="both"/>
        <w:outlineLvl w:val="0"/>
        <w:rPr>
          <w:rFonts w:ascii="Times New Roman" w:hAnsi="Times New Roman" w:cs="Times New Roman"/>
          <w:bCs/>
          <w:color w:val="000000" w:themeColor="text1"/>
          <w:sz w:val="24"/>
          <w:szCs w:val="24"/>
        </w:rPr>
      </w:pPr>
    </w:p>
    <w:p w14:paraId="33E6639C" w14:textId="77777777" w:rsidR="00312A83" w:rsidRPr="00312A83" w:rsidRDefault="00312A83" w:rsidP="00312A83">
      <w:pPr>
        <w:tabs>
          <w:tab w:val="left" w:pos="284"/>
        </w:tabs>
        <w:spacing w:after="0" w:line="240" w:lineRule="auto"/>
        <w:contextualSpacing/>
        <w:jc w:val="both"/>
        <w:outlineLvl w:val="0"/>
        <w:rPr>
          <w:rFonts w:ascii="Times New Roman" w:hAnsi="Times New Roman" w:cs="Times New Roman"/>
          <w:bCs/>
          <w:color w:val="000000" w:themeColor="text1"/>
          <w:sz w:val="14"/>
          <w:szCs w:val="14"/>
        </w:rPr>
      </w:pPr>
    </w:p>
    <w:p w14:paraId="7EA414A5" w14:textId="06A6465F" w:rsidR="00312A83" w:rsidRPr="00312A83" w:rsidRDefault="00312A83" w:rsidP="00312A83">
      <w:pPr>
        <w:tabs>
          <w:tab w:val="left" w:pos="284"/>
        </w:tabs>
        <w:spacing w:after="0" w:line="240" w:lineRule="auto"/>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hormones such as thyroxine (T4) and triiodothyronine (T3)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&lt;EndNote&gt;&lt;Cite&gt;&lt;Author&gt;Al-Suhaimi&lt;/Author&gt;&lt;Year&gt;2022&lt;/Year&gt;&lt;RecNum&gt;1&lt;/RecNum&gt;&lt;DisplayText&gt;(1)&lt;/DisplayText&gt;&lt;record&gt;&lt;rec-number&gt;1&lt;/rec-number&gt;&lt;foreign-keys&gt;&lt;key app="EN" db-id="0xx9ad9t8ft2a4ev0z1p0vatrvsp922datr9" timestamp="1752341483"&gt;1&lt;/key&gt;&lt;/foreign-keys&gt;&lt;ref-type name="Book Section"&gt;5&lt;/ref-type&gt;&lt;contributors&gt;&lt;authors&gt;&lt;author&gt;Al-Suhaimi, Ebtesam A&lt;/author&gt;&lt;author&gt;Khan, Firdos Alam&lt;/author&gt;&lt;/authors&gt;&lt;/contributors&gt;&lt;titles&gt;&lt;title&gt;Thyroid glands: Physiology and structure&lt;/title&gt;&lt;secondary-title&gt;Emerging concepts in endocrine structure and functions&lt;/secondary-title&gt;&lt;/titles&gt;&lt;pages&gt;133-160&lt;/pages&gt;&lt;dates&gt;&lt;year&gt;2022&lt;/year&gt;&lt;/dates&gt;&lt;publisher&gt;Springer&lt;/publisher&gt;&lt;urls&gt;&lt;/urls&gt;&lt;/record&gt;&lt;/Cite&gt;&lt;/EndNote&gt;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(1)</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 xml:space="preserve">. Due to its high metabolic activity and significant blood flow, the thyroid is inherently vulnerable to </w:t>
      </w:r>
      <w:r w:rsidRPr="00312A83">
        <w:rPr>
          <w:rFonts w:ascii="Times New Roman" w:hAnsi="Times New Roman" w:cs="Times New Roman"/>
          <w:bCs/>
          <w:color w:val="000000" w:themeColor="text1"/>
          <w:spacing w:val="2"/>
          <w:sz w:val="24"/>
          <w:szCs w:val="24"/>
        </w:rPr>
        <w:lastRenderedPageBreak/>
        <w:t xml:space="preserve">oxidative stress, a condition characterized by an imbalance in favor of reactive oxygen species (ROS) production over cellular antioxidant defenses. Exposure to various environmental and occupational chemical agents, including pesticides and industrial pollutants, can exacerbate this vulnerability and cause oxidative damage in thyroid tissue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&lt;EndNote&gt;&lt;Cite&gt;&lt;Author&gt;Macvanin&lt;/Author&gt;&lt;Year&gt;2023&lt;/Year&gt;&lt;RecNum&gt;2&lt;/RecNum&gt;&lt;DisplayText&gt;(2, 3)&lt;/DisplayText&gt;&lt;record&gt;&lt;rec-number&gt;2&lt;/rec-number&gt;&lt;foreign-keys&gt;&lt;key app="EN" db-id="0xx9ad9t8ft2a4ev0z1p0vatrvsp922datr9" timestamp="1752341523"&gt;2&lt;/key&gt;&lt;/foreign-keys&gt;&lt;ref-type name="Journal Article"&gt;17&lt;/ref-type&gt;&lt;contributors&gt;&lt;authors&gt;&lt;author&gt;Macvanin, Mirjana T&lt;/author&gt;&lt;author&gt;Gluvic, Zoran&lt;/author&gt;&lt;author&gt;Zafirovic, Sonja&lt;/author&gt;&lt;author&gt;Gao, Xin&lt;/author&gt;&lt;author&gt;Essack, Magbubah&lt;/author&gt;&lt;author&gt;Isenovic, Esma R&lt;/author&gt;&lt;/authors&gt;&lt;/contributors&gt;&lt;titles&gt;&lt;title&gt;The protective role of nutritional antioxidants against oxidative stress in thyroid disorders&lt;/title&gt;&lt;secondary-title&gt;Frontiers in endocrinology&lt;/secondary-title&gt;&lt;/titles&gt;&lt;periodical&gt;&lt;full-title&gt;Frontiers in endocrinology&lt;/full-title&gt;&lt;/periodical&gt;&lt;pages&gt;1092837&lt;/pages&gt;&lt;volume&gt;13&lt;/volume&gt;&lt;dates&gt;&lt;year&gt;2023&lt;/year&gt;&lt;/dates&gt;&lt;isbn&gt;1664-2392&lt;/isbn&gt;&lt;urls&gt;&lt;/urls&gt;&lt;/record&gt;&lt;/Cite&gt;&lt;Cite&gt;&lt;Author&gt;Kochman&lt;/Author&gt;&lt;Year&gt;2021&lt;/Year&gt;&lt;RecNum&gt;3&lt;/RecNum&gt;&lt;record&gt;&lt;rec-number&gt;3&lt;/rec-number&gt;&lt;foreign-keys&gt;&lt;key app="EN" db-id="0xx9ad9t8ft2a4ev0z1p0vatrvsp922datr9" timestamp="1752341562"&gt;3&lt;/key&gt;&lt;/foreign-keys&gt;&lt;ref-type name="Generic"&gt;13&lt;/ref-type&gt;&lt;contributors&gt;&lt;authors&gt;&lt;author&gt;Kochman, J&lt;/author&gt;&lt;author&gt;Jakubczyk, K&lt;/author&gt;&lt;author&gt;Bargiel, P&lt;/author&gt;&lt;author&gt;Janda-Milczarek, K&lt;/author&gt;&lt;/authors&gt;&lt;/contributors&gt;&lt;titles&gt;&lt;title&gt;The influence of oxidative stress on thyroid diseases. Antioxidants 2021 10 1442&lt;/title&gt;&lt;/titles&gt;&lt;dates&gt;&lt;year&gt;2021&lt;/year&gt;&lt;/dates&gt;&lt;publisher&gt;s Note: MDPI stays neu-tral with regard to jurisdictional claims in …&lt;/publisher&gt;&lt;urls&gt;&lt;/urls&gt;&lt;/record&gt;&lt;/Cite&gt;&lt;/EndNote&gt;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(2, 3)</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w:t>
      </w:r>
    </w:p>
    <w:p w14:paraId="77B8E856" w14:textId="77777777" w:rsidR="00312A83" w:rsidRPr="00312A83" w:rsidRDefault="00312A83" w:rsidP="00312A83">
      <w:pPr>
        <w:tabs>
          <w:tab w:val="left" w:pos="284"/>
        </w:tabs>
        <w:spacing w:after="0" w:line="240" w:lineRule="auto"/>
        <w:ind w:firstLine="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Mancozeb (MNZ), a manganese and zinc-based fungicide widely used in agriculture, is effective against fungi but poses potential toxicity risks to non-target organisms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&lt;EndNote&gt;&lt;Cite&gt;&lt;Author&gt;Mohanty&lt;/Author&gt;&lt;Year&gt;2025&lt;/Year&gt;&lt;RecNum&gt;4&lt;/RecNum&gt;&lt;DisplayText&gt;(4)&lt;/DisplayText&gt;&lt;record&gt;&lt;rec-number&gt;4&lt;/rec-number&gt;&lt;foreign-keys&gt;&lt;key app="EN" db-id="0xx9ad9t8ft2a4ev0z1p0vatrvsp922datr9" timestamp="1752341584"&gt;4&lt;/key&gt;&lt;/foreign-keys&gt;&lt;ref-type name="Journal Article"&gt;17&lt;/ref-type&gt;&lt;contributors&gt;&lt;authors&gt;&lt;author&gt;Mohanty, Banalata&lt;/author&gt;&lt;/authors&gt;&lt;/contributors&gt;&lt;titles&gt;&lt;title&gt;Mancozeb exposure disrupts endocrine function of the ovary and thyroid in Red Munia (Amandava amandava)&lt;/title&gt;&lt;secondary-title&gt;Chemosphere&lt;/secondary-title&gt;&lt;/titles&gt;&lt;periodical&gt;&lt;full-title&gt;Chemosphere&lt;/full-title&gt;&lt;/periodical&gt;&lt;pages&gt;144202&lt;/pages&gt;&lt;volume&gt;374&lt;/volume&gt;&lt;dates&gt;&lt;year&gt;2025&lt;/year&gt;&lt;/dates&gt;&lt;isbn&gt;0045-6535&lt;/isbn&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(4)</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 xml:space="preserve">. Recent toxicological research has confirmed MNZ’s endocrine-disrupting effects. MNZ is partially (50%) but rapidly (3-6 hours) absorbed after a 1.5 mg/kg oral dose, and it is thereafter broadly distributed to tissues, including the thyroid, where it shows the highest radioactivity. According to studies, MNZ affects the pituitary-thyroid axis by reducing the release of thyroid-stimulating hormone (TSH) and thyroid hormones (T3 and T4)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&lt;EndNote&gt;&lt;Cite&gt;&lt;Author&gt;Kackar&lt;/Author&gt;&lt;Year&gt;1997&lt;/Year&gt;&lt;RecNum&gt;5&lt;/RecNum&gt;&lt;DisplayText&gt;(5)&lt;/DisplayText&gt;&lt;record&gt;&lt;rec-number&gt;5&lt;/rec-number&gt;&lt;foreign-keys&gt;&lt;key app="EN" db-id="0xx9ad9t8ft2a4ev0z1p0vatrvsp922datr9" timestamp="1752341611"&gt;5&lt;/key&gt;&lt;/foreign-keys&gt;&lt;ref-type name="Conference Proceedings"&gt;10&lt;/ref-type&gt;&lt;contributors&gt;&lt;authors&gt;&lt;author&gt;Kackar, Reena&lt;/author&gt;&lt;author&gt;Srivastava, Mithilesh K&lt;/author&gt;&lt;author&gt;Raizada, Rajendra B&lt;/author&gt;&lt;/authors&gt;&lt;/contributors&gt;&lt;titles&gt;&lt;title&gt;Studies on rat thyroid after oral administration of mancozeb: morphological and biochemical evaluations&lt;/title&gt;&lt;secondary-title&gt;Journal of Applied Toxicology: An International Forum Devoted to Research and Methods Emphasizing Direct Clinical, Industrial and Environmental Applications&lt;/secondary-title&gt;&lt;/titles&gt;&lt;pages&gt;369-375&lt;/pages&gt;&lt;volume&gt;17&lt;/volume&gt;&lt;number&gt;6&lt;/number&gt;&lt;dates&gt;&lt;year&gt;1997&lt;/year&gt;&lt;/dates&gt;&lt;publisher&gt;Wiley Online Library&lt;/publisher&gt;&lt;isbn&gt;0260-437X&lt;/isbn&gt;&lt;urls&gt;&lt;/urls&gt;&lt;/record&gt;&lt;/Cite&gt;&lt;/EndNote&gt;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(5)</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 xml:space="preserve">. MNZ reduces thyroid hormone synthesis or function by directly interacting with nuclear hormone receptors, blocking thyroid peroxidase, and preventing iodine uptake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&lt;EndNote&gt;&lt;Cite&gt;&lt;Author&gt;Ksheerasagar&lt;/Author&gt;&lt;Year&gt;2003&lt;/Year&gt;&lt;RecNum&gt;6&lt;/RecNum&gt;&lt;DisplayText&gt;(6)&lt;/DisplayText&gt;&lt;record&gt;&lt;rec-number&gt;6&lt;/rec-number&gt;&lt;foreign-keys&gt;&lt;key app="EN" db-id="0xx9ad9t8ft2a4ev0z1p0vatrvsp922datr9" timestamp="1752341630"&gt;6&lt;/key&gt;&lt;/foreign-keys&gt;&lt;ref-type name="Journal Article"&gt;17&lt;/ref-type&gt;&lt;contributors&gt;&lt;authors&gt;&lt;author&gt;Ksheerasagar, Raghavendra L&lt;/author&gt;&lt;author&gt;Kaliwal, Basappa B&lt;/author&gt;&lt;/authors&gt;&lt;/contributors&gt;&lt;titles&gt;&lt;title&gt;Temporal effects of mancozeb on testes, accessory reproductive organs and biochemical constituents in albino mice&lt;/title&gt;&lt;secondary-title&gt;Environmental toxicology and pharmacology&lt;/secondary-title&gt;&lt;/titles&gt;&lt;periodical&gt;&lt;full-title&gt;Environmental toxicology and pharmacology&lt;/full-title&gt;&lt;/periodical&gt;&lt;pages&gt;9-17&lt;/pages&gt;&lt;volume&gt;15&lt;/volume&gt;&lt;number&gt;1&lt;/number&gt;&lt;dates&gt;&lt;year&gt;2003&lt;/year&gt;&lt;/dates&gt;&lt;isbn&gt;1382-6689&lt;/isbn&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(6)</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 xml:space="preserve">. It appears that MNZ's harmful effects are primarily due to the production of ROS, which leads to oxidative stress, lipid peroxidation, mitochondrial dysfunction, and deoxyribonucleic acid (DNA) damage. MNZ metabolites, such as disulfides, disrupt cellular redox balance and induce inflammation, apoptosis, and cellular damage in thyroid tissues. This oxidative damage increases lipid peroxides and DNA lesions, activates inflammatory responses, and exacerbates tissue damage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&lt;EndNote&gt;&lt;Cite&gt;&lt;Author&gt;Mohanty&lt;/Author&gt;&lt;Year&gt;2025&lt;/Year&gt;&lt;RecNum&gt;4&lt;/RecNum&gt;&lt;DisplayText&gt;(4, 7)&lt;/DisplayText&gt;&lt;record&gt;&lt;rec-number&gt;4&lt;/rec-number&gt;&lt;foreign-keys&gt;&lt;key app="EN" db-id="0xx9ad9t8ft2a4ev0z1p0vatrvsp922datr9" timestamp="1752341584"&gt;4&lt;/key&gt;&lt;/foreign-keys&gt;&lt;ref-type name="Journal Article"&gt;17&lt;/ref-type&gt;&lt;contributors&gt;&lt;authors&gt;&lt;author&gt;Mohanty, Banalata&lt;/author&gt;&lt;/authors&gt;&lt;/contributors&gt;&lt;titles&gt;&lt;title&gt;Mancozeb exposure disrupts endocrine function of the ovary and thyroid in Red Munia (Amandava amandava)&lt;/title&gt;&lt;secondary-title&gt;Chemosphere&lt;/secondary-title&gt;&lt;/titles&gt;&lt;periodical&gt;&lt;full-title&gt;Chemosphere&lt;/full-title&gt;&lt;/periodical&gt;&lt;pages&gt;144202&lt;/pages&gt;&lt;volume&gt;374&lt;/volume&gt;&lt;dates&gt;&lt;year&gt;2025&lt;/year&gt;&lt;/dates&gt;&lt;isbn&gt;0045-6535&lt;/isbn&gt;&lt;urls&gt;&lt;/urls&gt;&lt;/record&gt;&lt;/Cite&gt;&lt;Cite&gt;&lt;Author&gt;Zhang&lt;/Author&gt;&lt;Year&gt;2023&lt;/Year&gt;&lt;RecNum&gt;7&lt;/RecNum&gt;&lt;record&gt;&lt;rec-number&gt;7&lt;/rec-number&gt;&lt;foreign-keys&gt;&lt;key app="EN" db-id="0xx9ad9t8ft2a4ev0z1p0vatrvsp922datr9" timestamp="1752341648"&gt;7&lt;/key&gt;&lt;/foreign-keys&gt;&lt;ref-type name="Journal Article"&gt;17&lt;/ref-type&gt;&lt;contributors&gt;&lt;authors&gt;&lt;author&gt;Zhang, Yan&lt;/author&gt;&lt;author&gt;Wen, Ran&lt;/author&gt;&lt;author&gt;Bao, Jialu&lt;/author&gt;&lt;author&gt;Gong, Yinglan&lt;/author&gt;&lt;author&gt;Wang, Xiaodan&lt;/author&gt;&lt;/authors&gt;&lt;/contributors&gt;&lt;titles&gt;&lt;title&gt;Mancozeb induces nephrotoxicity by impairing the oxidative phosphorylation pathway: A transcriptome study&lt;/title&gt;&lt;secondary-title&gt;Ecotoxicology and Environmental Safety&lt;/secondary-title&gt;&lt;/titles&gt;&lt;periodical&gt;&lt;full-title&gt;Ecotoxicology and Environmental Safety&lt;/full-title&gt;&lt;/periodical&gt;&lt;pages&gt;114471&lt;/pages&gt;&lt;volume&gt;249&lt;/volume&gt;&lt;dates&gt;&lt;year&gt;2023&lt;/year&gt;&lt;/dates&gt;&lt;isbn&gt;0147-6513&lt;/isbn&gt;&lt;urls&gt;&lt;/urls&gt;&lt;/record&gt;&lt;/Cite&gt;&lt;/EndNote&gt;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(4, 7)</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w:t>
      </w:r>
    </w:p>
    <w:p w14:paraId="0BB628C0" w14:textId="77777777" w:rsidR="00312A83" w:rsidRPr="00312A83" w:rsidRDefault="00312A83" w:rsidP="00312A83">
      <w:pPr>
        <w:tabs>
          <w:tab w:val="left" w:pos="284"/>
        </w:tabs>
        <w:spacing w:after="0" w:line="240" w:lineRule="auto"/>
        <w:ind w:firstLine="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Given the vulnerability of the thyroid to oxidative stress, finding protective factors to counteract these effects is of considerable scientific and clinical importance. Antioxidants, both endogenously produced and exogenously supplied, serve as vital defenses against ROS. They scavenge free radicals, inhibit lipid peroxidation, and support cellular repair mechanisms to maintain tissue integrity </w:t>
      </w:r>
      <w:r w:rsidRPr="00312A83">
        <w:rPr>
          <w:rFonts w:ascii="Times New Roman" w:hAnsi="Times New Roman" w:cs="Times New Roman"/>
          <w:bCs/>
          <w:color w:val="000000" w:themeColor="text1"/>
          <w:spacing w:val="2"/>
          <w:sz w:val="24"/>
          <w:szCs w:val="24"/>
        </w:rPr>
        <w:fldChar w:fldCharType="begin">
          <w:fldData xml:space="preserve">PEVuZE5vdGU+PENpdGU+PEF1dGhvcj5TaGlyYW5pPC9BdXRob3I+PFllYXI+MjAxNDwvWWVhcj48
UmVjTnVtPjEzMTA8L1JlY051bT48RGlzcGxheVRleHQ+KDgsIDkpPC9EaXNwbGF5VGV4dD48cmVj
b3JkPjxyZWMtbnVtYmVyPjEzMTA8L3JlYy1udW1iZXI+PGZvcmVpZ24ta2V5cz48a2V5IGFwcD0i
RU4iIGRiLWlkPSJzZDIwMnZ2ZXlyYXNweWV0enppNWRzd3o1d3dydjBwdzlhdmEiIHRpbWVzdGFt
cD0iMTc1NTQyMDI5MiI+MTMxMDwva2V5PjwvZm9yZWlnbi1rZXlzPjxyZWYtdHlwZSBuYW1lPSJK
b3VybmFsIEFydGljbGUiPjE3PC9yZWYtdHlwZT48Y29udHJpYnV0b3JzPjxhdXRob3JzPjxhdXRo
b3I+U2hpcmFuaSwgSy48L2F1dGhvcj48YXV0aG9yPkJlaHJhdmFuLCBKLjwvYXV0aG9yPjxhdXRo
b3I+TW9zYWZmYSwgRi48L2F1dGhvcj48YXV0aG9yPklyYW5zaGFoaSwgTS48L2F1dGhvcj48YXV0
aG9yPk1laG1hbmtoYWgsIEIuPC9hdXRob3I+PGF1dGhvcj5SYXphdmktQXphcmtoaWF2aSwgSy48
L2F1dGhvcj48YXV0aG9yPkthcmltaSwgRy48L2F1dGhvcj48L2F1dGhvcnM+PC9jb250cmlidXRv
cnM+PGF1dGgtYWRkcmVzcz5EZXBhcnRtZW50IG9mIFBoYXJtYWNvZHluYW15IGFuZCBUb3hpY29s
b2d5LCBGYWN1bHR5IG9mIFBoYXJtYWN5LCBNYXNoaGFkIFVuaXZlcnNpdHkgb2YgTWVkaWNhbCBT
Y2llbmNlcywgTWFzaGhhZCwgSS4gUi4gSXJhbi4mI3hEO0Jpb3RlY2hub2xvZ3kgUmVzZWFyY2gg
Q2VudGVyIGFuZCBQaGFybWFjeSBTY2hvb2wsIE1hc2hoYWQgVW5pdmVyc2l0eSBvZiBNZWRpY2Fs
IFNjaWVuY2VzLCBNYXNoaGFkLCBJLiBSLiBJcmFuLiYjeEQ7RGVwYXJ0bWVudCBvZiBQaGFybWFj
b2dub3N5IGFuZCBCaW90ZWNobm9sb2d5LCBGYWN1bHR5IG9mIFBoYXJtYWN5LCBNYXNoaGFkIFVu
aXZlcnNpdHkgb2YgTWVkaWNhbCBTY2llbmNlcywgSS4gUi4gSXJhbi4mI3hEO01lZGljYWwgVG94
aWNvbG9neSBSZXNlYXJjaCBDZW50ZXIgYW5kIFBoYXJtYWN5IFNjaG9vbCwgTWFzaGhhZCBVbml2
ZXJzaXR5IG9mIE1lZGljYWwgU2NpZW5jZXMsIE1hc2hoYWQsIEkuIFIuIElyYW4uPC9hdXRoLWFk
ZHJlc3M+PHRpdGxlcz48dGl0bGU+RXZhbHVhdGluZyB0aGUgZWZmZWN0cyBvZiBnYWxiYW5pYyBh
Y2lkIG9uIGh5ZHJvZ2VuIHBlcm94aWRlLWluZHVjZWQgb3hpZGF0aXZlIEROQSBkYW1hZ2UgaW4g
aHVtYW4gbHltcGhvY3l0ZXM8L3RpdGxlPjxzZWNvbmRhcnktdGl0bGU+QXZpY2VubmEgSiBQaHl0
b21lZDwvc2Vjb25kYXJ5LXRpdGxlPjxhbHQtdGl0bGU+QXZpY2VubmEgam91cm5hbCBvZiBwaHl0
b21lZGljaW5lPC9hbHQtdGl0bGU+PC90aXRsZXM+PHBlcmlvZGljYWw+PGZ1bGwtdGl0bGU+QXZp
Y2VubmEgSiBQaHl0b21lZDwvZnVsbC10aXRsZT48YWJici0xPkF2aWNlbm5hIGpvdXJuYWwgb2Yg
cGh5dG9tZWRpY2luZTwvYWJici0xPjwvcGVyaW9kaWNhbD48YWx0LXBlcmlvZGljYWw+PGZ1bGwt
dGl0bGU+QXZpY2VubmEgSiBQaHl0b21lZDwvZnVsbC10aXRsZT48YWJici0xPkF2aWNlbm5hIGpv
dXJuYWwgb2YgcGh5dG9tZWRpY2luZTwvYWJici0xPjwvYWx0LXBlcmlvZGljYWw+PHBhZ2VzPjMz
Ny00MjwvcGFnZXM+PHZvbHVtZT40PC92b2x1bWU+PG51bWJlcj41PC9udW1iZXI+PGVkaXRpb24+
MjAxNC8xMS8xMjwvZWRpdGlvbj48a2V5d29yZHM+PGtleXdvcmQ+Q29tZXRhc3NheTwva2V5d29y
ZD48a2V5d29yZD5ETkFkYW1hZ2U8L2tleXdvcmQ+PGtleXdvcmQ+RmVydWxhc3pvd2l0c2lhbmE8
L2tleXdvcmQ+PGtleXdvcmQ+R2FsYmFuaWNhY2lkPC9rZXl3b3JkPjwva2V5d29yZHM+PGRhdGVz
Pjx5ZWFyPjIwMTQ8L3llYXI+PHB1Yi1kYXRlcz48ZGF0ZT5TZXA8L2RhdGU+PC9wdWItZGF0ZXM+
PC9kYXRlcz48aXNibj4yMjI4LTc5MzAgKFByaW50KSYjeEQ7MjIyOC03OTMwPC9pc2JuPjxhY2Nl
c3Npb24tbnVtPjI1Mzg2Mzk2PC9hY2Nlc3Npb24tbnVtPjx1cmxzPjwvdXJscz48Y3VzdG9tMj5Q
TUM0MjI0NzExPC9jdXN0b20yPjxyZW1vdGUtZGF0YWJhc2UtcHJvdmlkZXI+TkxNPC9yZW1vdGUt
ZGF0YWJhc2UtcHJvdmlkZXI+PGxhbmd1YWdlPmVuZzwvbGFuZ3VhZ2U+PC9yZWNvcmQ+PC9DaXRl
PjxDaXRlPjxBdXRob3I+QmFkaWVlPC9BdXRob3I+PFllYXI+MjAyNDwvWWVhcj48UmVjTnVtPjEz
MTE8L1JlY051bT48cmVjb3JkPjxyZWMtbnVtYmVyPjEzMTE8L3JlYy1udW1iZXI+PGZvcmVpZ24t
a2V5cz48a2V5IGFwcD0iRU4iIGRiLWlkPSJzZDIwMnZ2ZXlyYXNweWV0enppNWRzd3o1d3dydjBw
dzlhdmEiIHRpbWVzdGFtcD0iMTc1NTQyMDQxMiI+MTMxMTwva2V5PjwvZm9yZWlnbi1rZXlzPjxy
ZWYtdHlwZSBuYW1lPSJKb3VybmFsIEFydGljbGUiPjE3PC9yZWYtdHlwZT48Y29udHJpYnV0b3Jz
PjxhdXRob3JzPjxhdXRob3I+QmFkaWVlLCBNYWhkaWVoIFNhZGF0PC9hdXRob3I+PGF1dGhvcj5W
YWRpemFkZWgsIEFsaTwvYXV0aG9yPjxhdXRob3I+U2FsZWhjaGVoLCBNYXJ5YW08L2F1dGhvcj48
YXV0aG9yPk1vb3NhdmksIE1laHJub29zaDwvYXV0aG9yPjxhdXRob3I+U2hpcmFuaSwgTWFyeWFt
PC9hdXRob3I+PGF1dGhvcj5GYWtocmVkaW5pLCBGZXJlc2h0ZXNhZGF0PC9hdXRob3I+PGF1dGhv
cj5LaG9kYXlhciwgTW9oYW1tYWQgSmF2YWQ8L2F1dGhvcj48L2F1dGhvcnM+PC9jb250cmlidXRv
cnM+PGF1dGgtYWRkcmVzcz5TdHVkZW50IFJlc2VhcmNoIENvbW1pdHRlZSwgQWh2YXogSnVuZGlz
aGFwdXIgVW5pdmVyc2l0eSBvZiBNZWRpY2FsIFNjaWVuY2VzLCBBaHZheiwgSXJhbiAmYW1wOyBE
ZXBhcnRtZW50IG9mIFRveGljb2xvZ3ksIEZhY3VsdHkgb2YgUGhhcm1hY3ksIEFodmF6IEp1bmRp
c2hhcHVyIFVuaXZlcnNpdHkgb2YgTWVkaWNhbCBTY2llbmNlcywgQWh2YXosIElyYW4gJmFtcDsg
VG94aWNvbG9neSBSZXNlYXJjaCBDZW50ZXIsIE1lZGljYWwgQmFzaWMgU2NpZW5jZXMgUmVzZWFy
Y2ggSW5zdGl0dXRlLCBBaHZheiBKdW5kaXNoYXB1ciBVbml2ZXJzaXR5IG9mIE1lZGljYWwgU2Np
ZW5jZXMsIEFodmF6LCBJcmFuLjwvYXV0aC1hZGRyZXNzPjx0aXRsZXM+PHRpdGxlPlF1ZXJjZXRp
biBhbmQgQ2F0ZWNoaW4gUHJvdGVjdHMgTGVwdGluLURlZmljaWVudCBMZXBvYi9PYiBNaWNlIEFn
YWluc3QgQWxsb3hhbi1JbmR1Y2VkIERpYWJldGVzIGFuZCBIZXBhdG90b3hpY2l0eSB2aWEgU3Vw
cHJlc3Npb24gb2YgT3hpZGF0aXZlIFN0cmVzcyBhbmQgSW5mbGFtbWF0aW9uICVKIFJlcG9ydHMg
b2YgQmlvY2hlbWlzdHJ5IGFuZCBNb2xlY3VsYXIgQmlvbG9neTwvdGl0bGU+PHNob3J0LXRpdGxl
PlByb3RlY3Rpb24gYnkgUXVlcmNldGluICZhbXA7IENhdGVjaGluIGZyb20gRGlhYmV0ZXM8L3No
b3J0LXRpdGxlPjwvdGl0bGVzPjxwYWdlcz4xODQtMTk1PC9wYWdlcz48dm9sdW1lPjEzPC92b2x1
bWU+PG51bWJlcj4yPC9udW1iZXI+PHNlY3Rpb24+MTg0PC9zZWN0aW9uPjxrZXl3b3Jkcz48a2V5
d29yZD5BbGxveGFuLCBDYXRlY2hpbiwgUXVlcmNldGluLCBEaWFiZXRlcywgSGVwYXRvdG94aWNp
dHksIE1pY2UuPC9rZXl3b3JkPjwva2V5d29yZHM+PGRhdGVzPjx5ZWFyPjIwMjQ8L3llYXI+PC9k
YXRlcz48aXNibj4yMzIyLTM0ODA8L2lzYm4+PGNhbGwtbnVtPkEtMTAtMTUwMi0yPC9jYWxsLW51
bT48d29yay10eXBlPk9yaWdpbmFsIEFydGljbGU8L3dvcmstdHlwZT48dXJscz48cmVsYXRlZC11
cmxzPjx1cmw+aHR0cDovL3JibWIubmV0L2FydGljbGUtMS0xNDAxLWVuLmh0bWw8L3VybD48L3Jl
bGF0ZWQtdXJscz48cGRmLXVybHM+PHVybD5odHRwOi8vcmJtYi5uZXQvYXJ0aWNsZS0xLTE0MDEt
ZW4ucGRmPC91cmw+PC9wZGYtdXJscz48L3VybHM+PGVsZWN0cm9uaWMtcmVzb3VyY2UtbnVtPjEw
LjYxMTg2L3JibWIuMTMuMi4xODQ8L2VsZWN0cm9uaWMtcmVzb3VyY2UtbnVtPjxsYW5ndWFnZT5l
bmc8L2xhbmd1YWdlPjxhY2Nlc3MtZGF0ZT4yMDI0PC9hY2Nlc3MtZGF0ZT48L3JlY29yZD48L0Np
dGU+PC9FbmROb3RlPgB=
</w:fldData>
        </w:fldChar>
      </w:r>
      <w:r w:rsidRPr="00312A83">
        <w:rPr>
          <w:rFonts w:ascii="Times New Roman" w:hAnsi="Times New Roman" w:cs="Times New Roman"/>
          <w:bCs/>
          <w:color w:val="000000" w:themeColor="text1"/>
          <w:spacing w:val="2"/>
          <w:sz w:val="24"/>
          <w:szCs w:val="24"/>
        </w:rPr>
        <w:instrText xml:space="preserve"> ADDIN EN.CITE </w:instrText>
      </w:r>
      <w:r w:rsidRPr="00312A83">
        <w:rPr>
          <w:rFonts w:ascii="Times New Roman" w:hAnsi="Times New Roman" w:cs="Times New Roman"/>
          <w:bCs/>
          <w:color w:val="000000" w:themeColor="text1"/>
          <w:spacing w:val="2"/>
          <w:sz w:val="24"/>
          <w:szCs w:val="24"/>
        </w:rPr>
        <w:fldChar w:fldCharType="begin">
          <w:fldData xml:space="preserve">PEVuZE5vdGU+PENpdGU+PEF1dGhvcj5TaGlyYW5pPC9BdXRob3I+PFllYXI+MjAxNDwvWWVhcj48
UmVjTnVtPjEzMTA8L1JlY051bT48RGlzcGxheVRleHQ+KDgsIDkpPC9EaXNwbGF5VGV4dD48cmVj
b3JkPjxyZWMtbnVtYmVyPjEzMTA8L3JlYy1udW1iZXI+PGZvcmVpZ24ta2V5cz48a2V5IGFwcD0i
RU4iIGRiLWlkPSJzZDIwMnZ2ZXlyYXNweWV0enppNWRzd3o1d3dydjBwdzlhdmEiIHRpbWVzdGFt
cD0iMTc1NTQyMDI5MiI+MTMxMDwva2V5PjwvZm9yZWlnbi1rZXlzPjxyZWYtdHlwZSBuYW1lPSJK
b3VybmFsIEFydGljbGUiPjE3PC9yZWYtdHlwZT48Y29udHJpYnV0b3JzPjxhdXRob3JzPjxhdXRo
b3I+U2hpcmFuaSwgSy48L2F1dGhvcj48YXV0aG9yPkJlaHJhdmFuLCBKLjwvYXV0aG9yPjxhdXRo
b3I+TW9zYWZmYSwgRi48L2F1dGhvcj48YXV0aG9yPklyYW5zaGFoaSwgTS48L2F1dGhvcj48YXV0
aG9yPk1laG1hbmtoYWgsIEIuPC9hdXRob3I+PGF1dGhvcj5SYXphdmktQXphcmtoaWF2aSwgSy48
L2F1dGhvcj48YXV0aG9yPkthcmltaSwgRy48L2F1dGhvcj48L2F1dGhvcnM+PC9jb250cmlidXRv
cnM+PGF1dGgtYWRkcmVzcz5EZXBhcnRtZW50IG9mIFBoYXJtYWNvZHluYW15IGFuZCBUb3hpY29s
b2d5LCBGYWN1bHR5IG9mIFBoYXJtYWN5LCBNYXNoaGFkIFVuaXZlcnNpdHkgb2YgTWVkaWNhbCBT
Y2llbmNlcywgTWFzaGhhZCwgSS4gUi4gSXJhbi4mI3hEO0Jpb3RlY2hub2xvZ3kgUmVzZWFyY2gg
Q2VudGVyIGFuZCBQaGFybWFjeSBTY2hvb2wsIE1hc2hoYWQgVW5pdmVyc2l0eSBvZiBNZWRpY2Fs
IFNjaWVuY2VzLCBNYXNoaGFkLCBJLiBSLiBJcmFuLiYjeEQ7RGVwYXJ0bWVudCBvZiBQaGFybWFj
b2dub3N5IGFuZCBCaW90ZWNobm9sb2d5LCBGYWN1bHR5IG9mIFBoYXJtYWN5LCBNYXNoaGFkIFVu
aXZlcnNpdHkgb2YgTWVkaWNhbCBTY2llbmNlcywgSS4gUi4gSXJhbi4mI3hEO01lZGljYWwgVG94
aWNvbG9neSBSZXNlYXJjaCBDZW50ZXIgYW5kIFBoYXJtYWN5IFNjaG9vbCwgTWFzaGhhZCBVbml2
ZXJzaXR5IG9mIE1lZGljYWwgU2NpZW5jZXMsIE1hc2hoYWQsIEkuIFIuIElyYW4uPC9hdXRoLWFk
ZHJlc3M+PHRpdGxlcz48dGl0bGU+RXZhbHVhdGluZyB0aGUgZWZmZWN0cyBvZiBnYWxiYW5pYyBh
Y2lkIG9uIGh5ZHJvZ2VuIHBlcm94aWRlLWluZHVjZWQgb3hpZGF0aXZlIEROQSBkYW1hZ2UgaW4g
aHVtYW4gbHltcGhvY3l0ZXM8L3RpdGxlPjxzZWNvbmRhcnktdGl0bGU+QXZpY2VubmEgSiBQaHl0
b21lZDwvc2Vjb25kYXJ5LXRpdGxlPjxhbHQtdGl0bGU+QXZpY2VubmEgam91cm5hbCBvZiBwaHl0
b21lZGljaW5lPC9hbHQtdGl0bGU+PC90aXRsZXM+PHBlcmlvZGljYWw+PGZ1bGwtdGl0bGU+QXZp
Y2VubmEgSiBQaHl0b21lZDwvZnVsbC10aXRsZT48YWJici0xPkF2aWNlbm5hIGpvdXJuYWwgb2Yg
cGh5dG9tZWRpY2luZTwvYWJici0xPjwvcGVyaW9kaWNhbD48YWx0LXBlcmlvZGljYWw+PGZ1bGwt
dGl0bGU+QXZpY2VubmEgSiBQaHl0b21lZDwvZnVsbC10aXRsZT48YWJici0xPkF2aWNlbm5hIGpv
dXJuYWwgb2YgcGh5dG9tZWRpY2luZTwvYWJici0xPjwvYWx0LXBlcmlvZGljYWw+PHBhZ2VzPjMz
Ny00MjwvcGFnZXM+PHZvbHVtZT40PC92b2x1bWU+PG51bWJlcj41PC9udW1iZXI+PGVkaXRpb24+
MjAxNC8xMS8xMjwvZWRpdGlvbj48a2V5d29yZHM+PGtleXdvcmQ+Q29tZXRhc3NheTwva2V5d29y
ZD48a2V5d29yZD5ETkFkYW1hZ2U8L2tleXdvcmQ+PGtleXdvcmQ+RmVydWxhc3pvd2l0c2lhbmE8
L2tleXdvcmQ+PGtleXdvcmQ+R2FsYmFuaWNhY2lkPC9rZXl3b3JkPjwva2V5d29yZHM+PGRhdGVz
Pjx5ZWFyPjIwMTQ8L3llYXI+PHB1Yi1kYXRlcz48ZGF0ZT5TZXA8L2RhdGU+PC9wdWItZGF0ZXM+
PC9kYXRlcz48aXNibj4yMjI4LTc5MzAgKFByaW50KSYjeEQ7MjIyOC03OTMwPC9pc2JuPjxhY2Nl
c3Npb24tbnVtPjI1Mzg2Mzk2PC9hY2Nlc3Npb24tbnVtPjx1cmxzPjwvdXJscz48Y3VzdG9tMj5Q
TUM0MjI0NzExPC9jdXN0b20yPjxyZW1vdGUtZGF0YWJhc2UtcHJvdmlkZXI+TkxNPC9yZW1vdGUt
ZGF0YWJhc2UtcHJvdmlkZXI+PGxhbmd1YWdlPmVuZzwvbGFuZ3VhZ2U+PC9yZWNvcmQ+PC9DaXRl
PjxDaXRlPjxBdXRob3I+QmFkaWVlPC9BdXRob3I+PFllYXI+MjAyNDwvWWVhcj48UmVjTnVtPjEz
MTE8L1JlY051bT48cmVjb3JkPjxyZWMtbnVtYmVyPjEzMTE8L3JlYy1udW1iZXI+PGZvcmVpZ24t
a2V5cz48a2V5IGFwcD0iRU4iIGRiLWlkPSJzZDIwMnZ2ZXlyYXNweWV0enppNWRzd3o1d3dydjBw
dzlhdmEiIHRpbWVzdGFtcD0iMTc1NTQyMDQxMiI+MTMxMTwva2V5PjwvZm9yZWlnbi1rZXlzPjxy
ZWYtdHlwZSBuYW1lPSJKb3VybmFsIEFydGljbGUiPjE3PC9yZWYtdHlwZT48Y29udHJpYnV0b3Jz
PjxhdXRob3JzPjxhdXRob3I+QmFkaWVlLCBNYWhkaWVoIFNhZGF0PC9hdXRob3I+PGF1dGhvcj5W
YWRpemFkZWgsIEFsaTwvYXV0aG9yPjxhdXRob3I+U2FsZWhjaGVoLCBNYXJ5YW08L2F1dGhvcj48
YXV0aG9yPk1vb3NhdmksIE1laHJub29zaDwvYXV0aG9yPjxhdXRob3I+U2hpcmFuaSwgTWFyeWFt
PC9hdXRob3I+PGF1dGhvcj5GYWtocmVkaW5pLCBGZXJlc2h0ZXNhZGF0PC9hdXRob3I+PGF1dGhv
cj5LaG9kYXlhciwgTW9oYW1tYWQgSmF2YWQ8L2F1dGhvcj48L2F1dGhvcnM+PC9jb250cmlidXRv
cnM+PGF1dGgtYWRkcmVzcz5TdHVkZW50IFJlc2VhcmNoIENvbW1pdHRlZSwgQWh2YXogSnVuZGlz
aGFwdXIgVW5pdmVyc2l0eSBvZiBNZWRpY2FsIFNjaWVuY2VzLCBBaHZheiwgSXJhbiAmYW1wOyBE
ZXBhcnRtZW50IG9mIFRveGljb2xvZ3ksIEZhY3VsdHkgb2YgUGhhcm1hY3ksIEFodmF6IEp1bmRp
c2hhcHVyIFVuaXZlcnNpdHkgb2YgTWVkaWNhbCBTY2llbmNlcywgQWh2YXosIElyYW4gJmFtcDsg
VG94aWNvbG9neSBSZXNlYXJjaCBDZW50ZXIsIE1lZGljYWwgQmFzaWMgU2NpZW5jZXMgUmVzZWFy
Y2ggSW5zdGl0dXRlLCBBaHZheiBKdW5kaXNoYXB1ciBVbml2ZXJzaXR5IG9mIE1lZGljYWwgU2Np
ZW5jZXMsIEFodmF6LCBJcmFuLjwvYXV0aC1hZGRyZXNzPjx0aXRsZXM+PHRpdGxlPlF1ZXJjZXRp
biBhbmQgQ2F0ZWNoaW4gUHJvdGVjdHMgTGVwdGluLURlZmljaWVudCBMZXBvYi9PYiBNaWNlIEFn
YWluc3QgQWxsb3hhbi1JbmR1Y2VkIERpYWJldGVzIGFuZCBIZXBhdG90b3hpY2l0eSB2aWEgU3Vw
cHJlc3Npb24gb2YgT3hpZGF0aXZlIFN0cmVzcyBhbmQgSW5mbGFtbWF0aW9uICVKIFJlcG9ydHMg
b2YgQmlvY2hlbWlzdHJ5IGFuZCBNb2xlY3VsYXIgQmlvbG9neTwvdGl0bGU+PHNob3J0LXRpdGxl
PlByb3RlY3Rpb24gYnkgUXVlcmNldGluICZhbXA7IENhdGVjaGluIGZyb20gRGlhYmV0ZXM8L3No
b3J0LXRpdGxlPjwvdGl0bGVzPjxwYWdlcz4xODQtMTk1PC9wYWdlcz48dm9sdW1lPjEzPC92b2x1
bWU+PG51bWJlcj4yPC9udW1iZXI+PHNlY3Rpb24+MTg0PC9zZWN0aW9uPjxrZXl3b3Jkcz48a2V5
d29yZD5BbGxveGFuLCBDYXRlY2hpbiwgUXVlcmNldGluLCBEaWFiZXRlcywgSGVwYXRvdG94aWNp
dHksIE1pY2UuPC9rZXl3b3JkPjwva2V5d29yZHM+PGRhdGVzPjx5ZWFyPjIwMjQ8L3llYXI+PC9k
YXRlcz48aXNibj4yMzIyLTM0ODA8L2lzYm4+PGNhbGwtbnVtPkEtMTAtMTUwMi0yPC9jYWxsLW51
bT48d29yay10eXBlPk9yaWdpbmFsIEFydGljbGU8L3dvcmstdHlwZT48dXJscz48cmVsYXRlZC11
cmxzPjx1cmw+aHR0cDovL3JibWIubmV0L2FydGljbGUtMS0xNDAxLWVuLmh0bWw8L3VybD48L3Jl
bGF0ZWQtdXJscz48cGRmLXVybHM+PHVybD5odHRwOi8vcmJtYi5uZXQvYXJ0aWNsZS0xLTE0MDEt
ZW4ucGRmPC91cmw+PC9wZGYtdXJscz48L3VybHM+PGVsZWN0cm9uaWMtcmVzb3VyY2UtbnVtPjEw
LjYxMTg2L3JibWIuMTMuMi4xODQ8L2VsZWN0cm9uaWMtcmVzb3VyY2UtbnVtPjxsYW5ndWFnZT5l
bmc8L2xhbmd1YWdlPjxhY2Nlc3MtZGF0ZT4yMDI0PC9hY2Nlc3MtZGF0ZT48L3JlY29yZD48L0Np
dGU+PC9FbmROb3RlPgB=
</w:fldData>
        </w:fldChar>
      </w:r>
      <w:r w:rsidRPr="00312A83">
        <w:rPr>
          <w:rFonts w:ascii="Times New Roman" w:hAnsi="Times New Roman" w:cs="Times New Roman"/>
          <w:bCs/>
          <w:color w:val="000000" w:themeColor="text1"/>
          <w:spacing w:val="2"/>
          <w:sz w:val="24"/>
          <w:szCs w:val="24"/>
        </w:rPr>
        <w:instrText xml:space="preserve"> ADDIN EN.CITE.DATA </w:instrText>
      </w:r>
      <w:r w:rsidRPr="00312A83">
        <w:rPr>
          <w:rFonts w:ascii="Times New Roman" w:hAnsi="Times New Roman" w:cs="Times New Roman"/>
          <w:bCs/>
          <w:color w:val="000000" w:themeColor="text1"/>
          <w:spacing w:val="2"/>
          <w:sz w:val="24"/>
          <w:szCs w:val="24"/>
        </w:rPr>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(8, 9)</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 xml:space="preserve">. Among these, </w:t>
      </w:r>
      <w:r w:rsidRPr="00312A83">
        <w:rPr>
          <w:rFonts w:ascii="Times New Roman" w:hAnsi="Times New Roman" w:cs="Times New Roman"/>
          <w:bCs/>
          <w:color w:val="000000" w:themeColor="text1"/>
          <w:spacing w:val="2"/>
          <w:sz w:val="24"/>
          <w:szCs w:val="24"/>
        </w:rPr>
        <w:t xml:space="preserve">pharmacological agents with antioxidant properties are being increasingly studied for their potential to protect tissues from environmental and chemical toxins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&lt;EndNote&gt;&lt;Cite&gt;&lt;Author&gt;Macvanin&lt;/Author&gt;&lt;Year&gt;2023&lt;/Year&gt;&lt;RecNum&gt;2&lt;/RecNum&gt;&lt;DisplayText&gt;(2, 10)&lt;/DisplayText&gt;&lt;record&gt;&lt;rec-number&gt;2&lt;/rec-number&gt;&lt;foreign-keys&gt;&lt;key app="EN" db-id="0xx9ad9t8ft2a4ev0z1p0vatrvsp922datr9" timestamp="1752341523"&gt;2&lt;/key&gt;&lt;/foreign-keys&gt;&lt;ref-type name="Journal Article"&gt;17&lt;/ref-type&gt;&lt;contributors&gt;&lt;authors&gt;&lt;author&gt;Macvanin, Mirjana T&lt;/author&gt;&lt;author&gt;Gluvic, Zoran&lt;/author&gt;&lt;author&gt;Zafirovic, Sonja&lt;/author&gt;&lt;author&gt;Gao, Xin&lt;/author&gt;&lt;author&gt;Essack, Magbubah&lt;/author&gt;&lt;author&gt;Isenovic, Esma R&lt;/author&gt;&lt;/authors&gt;&lt;/contributors&gt;&lt;titles&gt;&lt;title&gt;The protective role of nutritional antioxidants against oxidative stress in thyroid disorders&lt;/title&gt;&lt;secondary-title&gt;Frontiers in endocrinology&lt;/secondary-title&gt;&lt;/titles&gt;&lt;periodical&gt;&lt;full-title&gt;Frontiers in endocrinology&lt;/full-title&gt;&lt;/periodical&gt;&lt;pages&gt;1092837&lt;/pages&gt;&lt;volume&gt;13&lt;/volume&gt;&lt;dates&gt;&lt;year&gt;2023&lt;/year&gt;&lt;/dates&gt;&lt;isbn&gt;1664-2392&lt;/isbn&gt;&lt;urls&gt;&lt;/urls&gt;&lt;/record&gt;&lt;/Cite&gt;&lt;Cite&gt;&lt;Author&gt;Chakrabarti&lt;/Author&gt;&lt;Year&gt;2016&lt;/Year&gt;&lt;RecNum&gt;8&lt;/RecNum&gt;&lt;record&gt;&lt;rec-number&gt;8&lt;/rec-number&gt;&lt;foreign-keys&gt;&lt;key app="EN" db-id="0xx9ad9t8ft2a4ev0z1p0vatrvsp922datr9" timestamp="1752341670"&gt;8&lt;/key&gt;&lt;/foreign-keys&gt;&lt;ref-type name="Journal Article"&gt;17&lt;/ref-type&gt;&lt;contributors&gt;&lt;authors&gt;&lt;author&gt;Chakrabarti, Sumit Kumar&lt;/author&gt;&lt;author&gt;Ghosh, Sujoy&lt;/author&gt;&lt;author&gt;Banerjee, Sandip&lt;/author&gt;&lt;author&gt;Mukherjee, Satinath&lt;/author&gt;&lt;author&gt;Chowdhury, Subhankar&lt;/author&gt;&lt;/authors&gt;&lt;/contributors&gt;&lt;titles&gt;&lt;title&gt;Oxidative stress in hypothyroid patients and the role of antioxidant supplementation&lt;/title&gt;&lt;secondary-title&gt;Indian journal of endocrinology and metabolism&lt;/secondary-title&gt;&lt;/titles&gt;&lt;periodical&gt;&lt;full-title&gt;Indian journal of endocrinology and metabolism&lt;/full-title&gt;&lt;/periodical&gt;&lt;pages&gt;674-678&lt;/pages&gt;&lt;volume&gt;20&lt;/volume&gt;&lt;number&gt;5&lt;/number&gt;&lt;dates&gt;&lt;year&gt;2016&lt;/year&gt;&lt;/dates&gt;&lt;isbn&gt;2230-8210&lt;/isbn&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(2, 10)</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w:t>
      </w:r>
    </w:p>
    <w:p w14:paraId="66460AD1" w14:textId="77777777" w:rsidR="00312A83" w:rsidRPr="00312A83" w:rsidRDefault="00312A83" w:rsidP="00312A83">
      <w:pPr>
        <w:tabs>
          <w:tab w:val="left" w:pos="284"/>
        </w:tabs>
        <w:spacing w:after="0" w:line="240" w:lineRule="auto"/>
        <w:ind w:firstLine="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Linagliptin (Lina), a potent and selective dipeptidyl peptidase-4 inhibitor (DPP-4i) used in managing type 2 diabetes, has been shown to possess significant extra glycemic effects, notably anti-inflammatory and antioxidant actions. Its ability to reduce oxidative stress has been demonstrated in various experimental models, where it enhances endogenous antioxidant enzymes such as superoxide dismutase (SOD) and glutathione peroxidase (GPx), while decreasing levels of oxidative markers such as malondialdehyde (MDA). These effects suggest that Lina can restore redox balance, suppress inflammatory cytokine release, and prevent cellular apoptosis induced by oxidative insults </w:t>
      </w:r>
      <w:r w:rsidRPr="00312A83">
        <w:rPr>
          <w:rFonts w:ascii="Times New Roman" w:hAnsi="Times New Roman" w:cs="Times New Roman"/>
          <w:bCs/>
          <w:color w:val="000000" w:themeColor="text1"/>
          <w:spacing w:val="2"/>
          <w:sz w:val="24"/>
          <w:szCs w:val="24"/>
        </w:rPr>
        <w:fldChar w:fldCharType="begin">
          <w:fldData xml:space="preserve">PEVuZE5vdGU+PENpdGU+PEF1dGhvcj5HcmltPC9BdXRob3I+PFllYXI+MjAwOTwvWWVhcj48UmVj
TnVtPjI1PC9SZWNOdW0+PERpc3BsYXlUZXh0PigxMS0xMyk8L0Rpc3BsYXlUZXh0PjxyZWNvcmQ+
PHJlYy1udW1iZXI+MjU8L3JlYy1udW1iZXI+PGZvcmVpZ24ta2V5cz48a2V5IGFwcD0iRU4iIGRi
LWlkPSIweHg5YWQ5dDhmdDJhNGV2MHoxcDB2YXRydnNwOTIyZGF0cjkiIHRpbWVzdGFtcD0iMTc1
MjM0MjI4MyI+MjU8L2tleT48L2ZvcmVpZ24ta2V5cz48cmVmLXR5cGUgbmFtZT0iSm91cm5hbCBB
cnRpY2xlIj4xNzwvcmVmLXR5cGU+PGNvbnRyaWJ1dG9ycz48YXV0aG9ycz48YXV0aG9yPkdyaW0s
IEsgQ2hyaXN0aWFuYTwvYXV0aG9yPjxhdXRob3I+V29sZmUsIE1hcmlseW48L2F1dGhvcj48YXV0
aG9yPkJyYXVuYmVjaywgVGhvbWFzPC9hdXRob3I+PGF1dGhvcj5JZ3VjaGksIFRhaXNlbjwvYXV0
aG9yPjxhdXRob3I+T2h0YSwgWWFzdWhpa288L2F1dGhvcj48YXV0aG9yPlRvb2ksIE9zYW11PC9h
dXRob3I+PGF1dGhvcj5Ub3VhcnQsIExlczwvYXV0aG9yPjxhdXRob3I+V29sZiwgRG91Z2xhcyBD
PC9hdXRob3I+PGF1dGhvcj5UaWV0Z2UsIEpvZTwvYXV0aG9yPjwvYXV0aG9ycz48L2NvbnRyaWJ1
dG9ycz48dGl0bGVzPjx0aXRsZT5UaHlyb2lkIGhpc3RvcGF0aG9sb2d5IGFzc2Vzc21lbnRzIGZv
ciB0aGUgYW1waGliaWFuIG1ldGFtb3JwaG9zaXMgYXNzYXkgdG8gZGV0ZWN0IHRoeXJvaWQtYWN0
aXZlIHN1YnN0YW5jZXM8L3RpdGxlPjxzZWNvbmRhcnktdGl0bGU+VG94aWNvbG9naWMgcGF0aG9s
b2d5PC9zZWNvbmRhcnktdGl0bGU+PC90aXRsZXM+PHBlcmlvZGljYWw+PGZ1bGwtdGl0bGU+VG94
aWNvbG9naWMgcGF0aG9sb2d5PC9mdWxsLXRpdGxlPjwvcGVyaW9kaWNhbD48cGFnZXM+NDE1LTQy
NDwvcGFnZXM+PHZvbHVtZT4zNzwvdm9sdW1lPjxudW1iZXI+NDwvbnVtYmVyPjxkYXRlcz48eWVh
cj4yMDA5PC95ZWFyPjwvZGF0ZXM+PGlzYm4+MDE5Mi02MjMzPC9pc2JuPjx1cmxzPjwvdXJscz48
L3JlY29yZD48L0NpdGU+PENpdGU+PEF1dGhvcj5LYXdhbmFtaTwvQXV0aG9yPjxZZWFyPjIwMjE8
L1llYXI+PFJlY051bT45PC9SZWNOdW0+PHJlY29yZD48cmVjLW51bWJlcj45PC9yZWMtbnVtYmVy
Pjxmb3JlaWduLWtleXM+PGtleSBhcHA9IkVOIiBkYi1pZD0iMHh4OWFkOXQ4ZnQyYTRldjB6MXAw
dmF0cnZzcDkyMmRhdHI5IiB0aW1lc3RhbXA9IjE3NTIzNDE2OTkiPjk8L2tleT48L2ZvcmVpZ24t
a2V5cz48cmVmLXR5cGUgbmFtZT0iR2VuZXJpYyI+MTM8L3JlZi10eXBlPjxjb250cmlidXRvcnM+
PGF1dGhvcnM+PGF1dGhvcj5LYXdhbmFtaSwgRDwvYXV0aG9yPjxhdXRob3I+VGFrYXNoaSwgWTwv
YXV0aG9yPjxhdXRob3I+VGFrYWhhc2hpLCBIPC9hdXRob3I+PGF1dGhvcj5Nb3RvbmFnYSwgUjwv
YXV0aG9yPjxhdXRob3I+VGFuYWJlLCBNPC9hdXRob3I+PC9hdXRob3JzPjwvY29udHJpYnV0b3Jz
Pjx0aXRsZXM+PHRpdGxlPlJlbm9wcm90ZWN0aXZlIGVmZmVjdHMgb2YgRFBQLTQgaW5oaWJpdG9y
cy4gQW50aW94aWRhbnRzIDIwMjEsIDEwLCAyNDY8L3RpdGxlPjwvdGl0bGVzPjxkYXRlcz48eWVh
cj4yMDIxPC95ZWFyPjwvZGF0ZXM+PHB1Ymxpc2hlcj5zIE5vdGU6IE1EUEkgc3RheXMgbmV1dHJh
bCB3aXRoIHJlZ2FyZCB0byBqdXJpc2RpY3Rpb25hbCBjbGFpbXMgaW4gcHVibGlzaGVkwqDigKY8
L3B1Ymxpc2hlcj48dXJscz48L3VybHM+PC9yZWNvcmQ+PC9DaXRlPjxDaXRlPjxBdXRob3I+TWFr
aW5vPC9BdXRob3I+PFllYXI+MjAxOTwvWWVhcj48UmVjTnVtPjEwPC9SZWNOdW0+PHJlY29yZD48
cmVjLW51bWJlcj4xMDwvcmVjLW51bWJlcj48Zm9yZWlnbi1rZXlzPjxrZXkgYXBwPSJFTiIgZGIt
aWQ9IjB4eDlhZDl0OGZ0MmE0ZXYwejFwMHZhdHJ2c3A5MjJkYXRyOSIgdGltZXN0YW1wPSIxNzUy
MzQxNzIwIj4xMDwva2V5PjwvZm9yZWlnbi1rZXlzPjxyZWYtdHlwZSBuYW1lPSJKb3VybmFsIEFy
dGljbGUiPjE3PC9yZWYtdHlwZT48Y29udHJpYnV0b3JzPjxhdXRob3JzPjxhdXRob3I+TWFraW5v
LCBIaXNhc2hpPC9hdXRob3I+PGF1dGhvcj5NYXRzdW8sIE1pa2k8L2F1dGhvcj48YXV0aG9yPkhp
c2hpZGEsIEFpPC9hdXRob3I+PGF1dGhvcj5Lb2V6dWthLCBSeW88L2F1dGhvcj48YXV0aG9yPlRv
Y2hpeWEsIE1heXU8L2F1dGhvcj48YXV0aG9yPk9oYXRhLCBZb2tvPC9hdXRob3I+PGF1dGhvcj5U
YW1hbmFoYSwgVGFtaWtvPC9hdXRob3I+PGF1dGhvcj5Tb24sIENoZW9sPC9hdXRob3I+PGF1dGhv
cj5NaXlhbW90bywgWW9zaGloaXJvPC9hdXRob3I+PGF1dGhvcj5Ib3NvZGEsIEtpbWlub3JpPC9h
dXRob3I+PC9hdXRob3JzPjwvY29udHJpYnV0b3JzPjx0aXRsZXM+PHRpdGxlPkVmZmVjdCBvZiBs
aW5hZ2xpcHRpbiBvbiBveGlkYXRpdmUgc3RyZXNzIG1hcmtlcnMgaW4gcGF0aWVudHMgd2l0aCB0
eXBlIDIgZGlhYmV0ZXM6IGEgcGlsb3Qgc3R1ZHk8L3RpdGxlPjxzZWNvbmRhcnktdGl0bGU+RGlh
YmV0b2xvZ3kgaW50ZXJuYXRpb25hbDwvc2Vjb25kYXJ5LXRpdGxlPjwvdGl0bGVzPjxwZXJpb2Rp
Y2FsPjxmdWxsLXRpdGxlPkRpYWJldG9sb2d5IGludGVybmF0aW9uYWw8L2Z1bGwtdGl0bGU+PC9w
ZXJpb2RpY2FsPjxwYWdlcz4xNDgtMTUyPC9wYWdlcz48dm9sdW1lPjEwPC92b2x1bWU+PG51bWJl
cj4yPC9udW1iZXI+PGRhdGVzPjx5ZWFyPjIwMTk8L3llYXI+PC9kYXRlcz48aXNibj4yMTkwLTE2
Nzg8L2lzYm4+PHVybHM+PC91cmxzPjwvcmVjb3JkPjwvQ2l0ZT48L0VuZE5vdGU+
</w:fldData>
        </w:fldChar>
      </w:r>
      <w:r w:rsidRPr="00312A83">
        <w:rPr>
          <w:rFonts w:ascii="Times New Roman" w:hAnsi="Times New Roman" w:cs="Times New Roman"/>
          <w:bCs/>
          <w:color w:val="000000" w:themeColor="text1"/>
          <w:spacing w:val="2"/>
          <w:sz w:val="24"/>
          <w:szCs w:val="24"/>
        </w:rPr>
        <w:instrText xml:space="preserve"> ADDIN EN.CITE </w:instrText>
      </w:r>
      <w:r w:rsidRPr="00312A83">
        <w:rPr>
          <w:rFonts w:ascii="Times New Roman" w:hAnsi="Times New Roman" w:cs="Times New Roman"/>
          <w:bCs/>
          <w:color w:val="000000" w:themeColor="text1"/>
          <w:spacing w:val="2"/>
          <w:sz w:val="24"/>
          <w:szCs w:val="24"/>
        </w:rPr>
        <w:fldChar w:fldCharType="begin">
          <w:fldData xml:space="preserve">PEVuZE5vdGU+PENpdGU+PEF1dGhvcj5HcmltPC9BdXRob3I+PFllYXI+MjAwOTwvWWVhcj48UmVj
TnVtPjI1PC9SZWNOdW0+PERpc3BsYXlUZXh0PigxMS0xMyk8L0Rpc3BsYXlUZXh0PjxyZWNvcmQ+
PHJlYy1udW1iZXI+MjU8L3JlYy1udW1iZXI+PGZvcmVpZ24ta2V5cz48a2V5IGFwcD0iRU4iIGRi
LWlkPSIweHg5YWQ5dDhmdDJhNGV2MHoxcDB2YXRydnNwOTIyZGF0cjkiIHRpbWVzdGFtcD0iMTc1
MjM0MjI4MyI+MjU8L2tleT48L2ZvcmVpZ24ta2V5cz48cmVmLXR5cGUgbmFtZT0iSm91cm5hbCBB
cnRpY2xlIj4xNzwvcmVmLXR5cGU+PGNvbnRyaWJ1dG9ycz48YXV0aG9ycz48YXV0aG9yPkdyaW0s
IEsgQ2hyaXN0aWFuYTwvYXV0aG9yPjxhdXRob3I+V29sZmUsIE1hcmlseW48L2F1dGhvcj48YXV0
aG9yPkJyYXVuYmVjaywgVGhvbWFzPC9hdXRob3I+PGF1dGhvcj5JZ3VjaGksIFRhaXNlbjwvYXV0
aG9yPjxhdXRob3I+T2h0YSwgWWFzdWhpa288L2F1dGhvcj48YXV0aG9yPlRvb2ksIE9zYW11PC9h
dXRob3I+PGF1dGhvcj5Ub3VhcnQsIExlczwvYXV0aG9yPjxhdXRob3I+V29sZiwgRG91Z2xhcyBD
PC9hdXRob3I+PGF1dGhvcj5UaWV0Z2UsIEpvZTwvYXV0aG9yPjwvYXV0aG9ycz48L2NvbnRyaWJ1
dG9ycz48dGl0bGVzPjx0aXRsZT5UaHlyb2lkIGhpc3RvcGF0aG9sb2d5IGFzc2Vzc21lbnRzIGZv
ciB0aGUgYW1waGliaWFuIG1ldGFtb3JwaG9zaXMgYXNzYXkgdG8gZGV0ZWN0IHRoeXJvaWQtYWN0
aXZlIHN1YnN0YW5jZXM8L3RpdGxlPjxzZWNvbmRhcnktdGl0bGU+VG94aWNvbG9naWMgcGF0aG9s
b2d5PC9zZWNvbmRhcnktdGl0bGU+PC90aXRsZXM+PHBlcmlvZGljYWw+PGZ1bGwtdGl0bGU+VG94
aWNvbG9naWMgcGF0aG9sb2d5PC9mdWxsLXRpdGxlPjwvcGVyaW9kaWNhbD48cGFnZXM+NDE1LTQy
NDwvcGFnZXM+PHZvbHVtZT4zNzwvdm9sdW1lPjxudW1iZXI+NDwvbnVtYmVyPjxkYXRlcz48eWVh
cj4yMDA5PC95ZWFyPjwvZGF0ZXM+PGlzYm4+MDE5Mi02MjMzPC9pc2JuPjx1cmxzPjwvdXJscz48
L3JlY29yZD48L0NpdGU+PENpdGU+PEF1dGhvcj5LYXdhbmFtaTwvQXV0aG9yPjxZZWFyPjIwMjE8
L1llYXI+PFJlY051bT45PC9SZWNOdW0+PHJlY29yZD48cmVjLW51bWJlcj45PC9yZWMtbnVtYmVy
Pjxmb3JlaWduLWtleXM+PGtleSBhcHA9IkVOIiBkYi1pZD0iMHh4OWFkOXQ4ZnQyYTRldjB6MXAw
dmF0cnZzcDkyMmRhdHI5IiB0aW1lc3RhbXA9IjE3NTIzNDE2OTkiPjk8L2tleT48L2ZvcmVpZ24t
a2V5cz48cmVmLXR5cGUgbmFtZT0iR2VuZXJpYyI+MTM8L3JlZi10eXBlPjxjb250cmlidXRvcnM+
PGF1dGhvcnM+PGF1dGhvcj5LYXdhbmFtaSwgRDwvYXV0aG9yPjxhdXRob3I+VGFrYXNoaSwgWTwv
YXV0aG9yPjxhdXRob3I+VGFrYWhhc2hpLCBIPC9hdXRob3I+PGF1dGhvcj5Nb3RvbmFnYSwgUjwv
YXV0aG9yPjxhdXRob3I+VGFuYWJlLCBNPC9hdXRob3I+PC9hdXRob3JzPjwvY29udHJpYnV0b3Jz
Pjx0aXRsZXM+PHRpdGxlPlJlbm9wcm90ZWN0aXZlIGVmZmVjdHMgb2YgRFBQLTQgaW5oaWJpdG9y
cy4gQW50aW94aWRhbnRzIDIwMjEsIDEwLCAyNDY8L3RpdGxlPjwvdGl0bGVzPjxkYXRlcz48eWVh
cj4yMDIxPC95ZWFyPjwvZGF0ZXM+PHB1Ymxpc2hlcj5zIE5vdGU6IE1EUEkgc3RheXMgbmV1dHJh
bCB3aXRoIHJlZ2FyZCB0byBqdXJpc2RpY3Rpb25hbCBjbGFpbXMgaW4gcHVibGlzaGVkwqDigKY8
L3B1Ymxpc2hlcj48dXJscz48L3VybHM+PC9yZWNvcmQ+PC9DaXRlPjxDaXRlPjxBdXRob3I+TWFr
aW5vPC9BdXRob3I+PFllYXI+MjAxOTwvWWVhcj48UmVjTnVtPjEwPC9SZWNOdW0+PHJlY29yZD48
cmVjLW51bWJlcj4xMDwvcmVjLW51bWJlcj48Zm9yZWlnbi1rZXlzPjxrZXkgYXBwPSJFTiIgZGIt
aWQ9IjB4eDlhZDl0OGZ0MmE0ZXYwejFwMHZhdHJ2c3A5MjJkYXRyOSIgdGltZXN0YW1wPSIxNzUy
MzQxNzIwIj4xMDwva2V5PjwvZm9yZWlnbi1rZXlzPjxyZWYtdHlwZSBuYW1lPSJKb3VybmFsIEFy
dGljbGUiPjE3PC9yZWYtdHlwZT48Y29udHJpYnV0b3JzPjxhdXRob3JzPjxhdXRob3I+TWFraW5v
LCBIaXNhc2hpPC9hdXRob3I+PGF1dGhvcj5NYXRzdW8sIE1pa2k8L2F1dGhvcj48YXV0aG9yPkhp
c2hpZGEsIEFpPC9hdXRob3I+PGF1dGhvcj5Lb2V6dWthLCBSeW88L2F1dGhvcj48YXV0aG9yPlRv
Y2hpeWEsIE1heXU8L2F1dGhvcj48YXV0aG9yPk9oYXRhLCBZb2tvPC9hdXRob3I+PGF1dGhvcj5U
YW1hbmFoYSwgVGFtaWtvPC9hdXRob3I+PGF1dGhvcj5Tb24sIENoZW9sPC9hdXRob3I+PGF1dGhv
cj5NaXlhbW90bywgWW9zaGloaXJvPC9hdXRob3I+PGF1dGhvcj5Ib3NvZGEsIEtpbWlub3JpPC9h
dXRob3I+PC9hdXRob3JzPjwvY29udHJpYnV0b3JzPjx0aXRsZXM+PHRpdGxlPkVmZmVjdCBvZiBs
aW5hZ2xpcHRpbiBvbiBveGlkYXRpdmUgc3RyZXNzIG1hcmtlcnMgaW4gcGF0aWVudHMgd2l0aCB0
eXBlIDIgZGlhYmV0ZXM6IGEgcGlsb3Qgc3R1ZHk8L3RpdGxlPjxzZWNvbmRhcnktdGl0bGU+RGlh
YmV0b2xvZ3kgaW50ZXJuYXRpb25hbDwvc2Vjb25kYXJ5LXRpdGxlPjwvdGl0bGVzPjxwZXJpb2Rp
Y2FsPjxmdWxsLXRpdGxlPkRpYWJldG9sb2d5IGludGVybmF0aW9uYWw8L2Z1bGwtdGl0bGU+PC9w
ZXJpb2RpY2FsPjxwYWdlcz4xNDgtMTUyPC9wYWdlcz48dm9sdW1lPjEwPC92b2x1bWU+PG51bWJl
cj4yPC9udW1iZXI+PGRhdGVzPjx5ZWFyPjIwMTk8L3llYXI+PC9kYXRlcz48aXNibj4yMTkwLTE2
Nzg8L2lzYm4+PHVybHM+PC91cmxzPjwvcmVjb3JkPjwvQ2l0ZT48L0VuZE5vdGU+
</w:fldData>
        </w:fldChar>
      </w:r>
      <w:r w:rsidRPr="00312A83">
        <w:rPr>
          <w:rFonts w:ascii="Times New Roman" w:hAnsi="Times New Roman" w:cs="Times New Roman"/>
          <w:bCs/>
          <w:color w:val="000000" w:themeColor="text1"/>
          <w:spacing w:val="2"/>
          <w:sz w:val="24"/>
          <w:szCs w:val="24"/>
        </w:rPr>
        <w:instrText xml:space="preserve"> ADDIN EN.CITE.DATA </w:instrText>
      </w:r>
      <w:r w:rsidRPr="00312A83">
        <w:rPr>
          <w:rFonts w:ascii="Times New Roman" w:hAnsi="Times New Roman" w:cs="Times New Roman"/>
          <w:bCs/>
          <w:color w:val="000000" w:themeColor="text1"/>
          <w:spacing w:val="2"/>
          <w:sz w:val="24"/>
          <w:szCs w:val="24"/>
        </w:rPr>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(11-13)</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w:t>
      </w:r>
    </w:p>
    <w:p w14:paraId="2819CF31" w14:textId="77777777" w:rsidR="00312A83" w:rsidRPr="00312A83" w:rsidRDefault="00312A83" w:rsidP="00E7498A">
      <w:pPr>
        <w:tabs>
          <w:tab w:val="left" w:pos="284"/>
        </w:tabs>
        <w:spacing w:after="0" w:line="240" w:lineRule="auto"/>
        <w:ind w:firstLine="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In the context of environmental exposure to oxidative stressors like MNZ, the potential protective effects of Lina could be highly significant. By attenuating ROS production and reducing oxidative damage, Lina may preserve thyroid cell viability, prevent DNA damage, and improve overall tissue function. Investigating this interaction in an experimental setting, such as rat models, could elucidate the molecular mechanisms underpinning these protective effects and provide a foundation for novel therapeutic strategies aimed at safeguarding endocrine organs against environmental toxins. This study aims to explore the capacity of Lina to counteract MNZ-induced oxidative and cellular damage in the rat thyroid gland. Emphasis will be placed on assessing oxidative biomarkers, histopathological alterations, and inflammatory mediators. The findings are anticipated to enhance our understanding of how pharmacological agents with antioxidant properties can serve as protective modulators within vulnerable endocrine tissues subjected to environmental chemical stressors, thereby contributing to safer agricultural practices and environmental health management.</w:t>
      </w:r>
    </w:p>
    <w:p w14:paraId="76A273AC" w14:textId="77777777" w:rsidR="00367E92" w:rsidRPr="00281A3C" w:rsidRDefault="00367E92" w:rsidP="00367E92">
      <w:pPr>
        <w:tabs>
          <w:tab w:val="left" w:pos="284"/>
        </w:tabs>
        <w:spacing w:after="0" w:line="240" w:lineRule="auto"/>
        <w:contextualSpacing/>
        <w:jc w:val="both"/>
        <w:outlineLvl w:val="0"/>
        <w:rPr>
          <w:rFonts w:ascii="Times New Roman" w:hAnsi="Times New Roman" w:cs="Times New Roman"/>
          <w:b/>
          <w:bCs/>
          <w:color w:val="000000" w:themeColor="text1"/>
          <w:spacing w:val="2"/>
          <w:sz w:val="28"/>
          <w:szCs w:val="28"/>
        </w:rPr>
      </w:pPr>
      <w:r w:rsidRPr="00281A3C">
        <w:rPr>
          <w:rFonts w:ascii="Times New Roman" w:hAnsi="Times New Roman" w:cs="Times New Roman"/>
          <w:b/>
          <w:bCs/>
          <w:color w:val="000000" w:themeColor="text1"/>
          <w:spacing w:val="2"/>
          <w:sz w:val="28"/>
          <w:szCs w:val="28"/>
        </w:rPr>
        <w:lastRenderedPageBreak/>
        <w:t xml:space="preserve">Materials and Methods </w:t>
      </w:r>
    </w:p>
    <w:p w14:paraId="5323A819"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i/>
          <w:iCs/>
          <w:color w:val="000000" w:themeColor="text1"/>
          <w:spacing w:val="2"/>
          <w:sz w:val="24"/>
          <w:szCs w:val="24"/>
        </w:rPr>
      </w:pPr>
      <w:r w:rsidRPr="00312A83">
        <w:rPr>
          <w:rFonts w:ascii="Times New Roman" w:hAnsi="Times New Roman" w:cs="Times New Roman"/>
          <w:b/>
          <w:bCs/>
          <w:i/>
          <w:iCs/>
          <w:color w:val="000000" w:themeColor="text1"/>
          <w:spacing w:val="2"/>
          <w:sz w:val="24"/>
          <w:szCs w:val="24"/>
        </w:rPr>
        <w:t>Animals </w:t>
      </w:r>
    </w:p>
    <w:p w14:paraId="19F4A1E6" w14:textId="499D524E" w:rsidR="00312A83" w:rsidRPr="00281A3C" w:rsidRDefault="00312A83" w:rsidP="00312A83">
      <w:pPr>
        <w:tabs>
          <w:tab w:val="left" w:pos="284"/>
        </w:tabs>
        <w:spacing w:before="240" w:after="0" w:line="240" w:lineRule="auto"/>
        <w:contextualSpacing/>
        <w:jc w:val="both"/>
        <w:outlineLvl w:val="0"/>
        <w:rPr>
          <w:rFonts w:ascii="Times New Roman" w:hAnsi="Times New Roman" w:cs="Times New Roman"/>
          <w:b/>
          <w:bCs/>
          <w:color w:val="000000" w:themeColor="text1"/>
          <w:spacing w:val="2"/>
          <w:sz w:val="24"/>
          <w:szCs w:val="24"/>
        </w:rPr>
      </w:pPr>
      <w:r w:rsidRPr="00312A83">
        <w:rPr>
          <w:rFonts w:ascii="Times New Roman" w:hAnsi="Times New Roman" w:cs="Times New Roman"/>
          <w:bCs/>
          <w:color w:val="000000" w:themeColor="text1"/>
          <w:spacing w:val="2"/>
          <w:sz w:val="24"/>
          <w:szCs w:val="24"/>
        </w:rPr>
        <w:t>In this experimental study, a total of 54 adult male Wistar rats, weighing between 250 and 300 grams, were obtained from Ahvaz Jundishapur University of Medical Sciences, located in Ahvaz, Iran. The animals were acclimated in polystyrene cages for one week before the start of the experiment. They were maintained under a 12-hour light/dark cycle at a temperature of 22 ± 2°C, with relative humidity maintained between 55</w:t>
      </w:r>
      <w:r w:rsidR="009752F6">
        <w:rPr>
          <w:rFonts w:ascii="Times New Roman" w:hAnsi="Times New Roman" w:cs="Times New Roman"/>
          <w:bCs/>
          <w:color w:val="000000" w:themeColor="text1"/>
          <w:spacing w:val="2"/>
          <w:sz w:val="24"/>
          <w:szCs w:val="24"/>
        </w:rPr>
        <w:t xml:space="preserve">% and </w:t>
      </w:r>
      <w:r w:rsidRPr="00312A83">
        <w:rPr>
          <w:rFonts w:ascii="Times New Roman" w:hAnsi="Times New Roman" w:cs="Times New Roman"/>
          <w:bCs/>
          <w:color w:val="000000" w:themeColor="text1"/>
          <w:spacing w:val="2"/>
          <w:sz w:val="24"/>
          <w:szCs w:val="24"/>
        </w:rPr>
        <w:t xml:space="preserve">65%. Food and water were provided ad libitum. The rats were allowed to adapt to their environment to minimize stress before experimental procedures. All experimental protocols were conducted </w:t>
      </w:r>
      <w:r w:rsidR="009752F6">
        <w:rPr>
          <w:rFonts w:ascii="Times New Roman" w:hAnsi="Times New Roman" w:cs="Times New Roman"/>
          <w:bCs/>
          <w:color w:val="000000" w:themeColor="text1"/>
          <w:spacing w:val="2"/>
          <w:sz w:val="24"/>
          <w:szCs w:val="24"/>
        </w:rPr>
        <w:t>i</w:t>
      </w:r>
      <w:r w:rsidRPr="00312A83">
        <w:rPr>
          <w:rFonts w:ascii="Times New Roman" w:hAnsi="Times New Roman" w:cs="Times New Roman"/>
          <w:bCs/>
          <w:color w:val="000000" w:themeColor="text1"/>
          <w:spacing w:val="2"/>
          <w:sz w:val="24"/>
          <w:szCs w:val="24"/>
        </w:rPr>
        <w:t>n accordance with the ethical guidelines for laboratory animal research and received approval from the Ethics Committee of Ahvaz Jundishapur University of Medical Sciences (ethical approval code: IR. AJUMS.ABHC.REC.1402.080).</w:t>
      </w:r>
      <w:r w:rsidRPr="00312A83">
        <w:rPr>
          <w:rFonts w:ascii="Times New Roman" w:hAnsi="Times New Roman" w:cs="Times New Roman"/>
          <w:b/>
          <w:bCs/>
          <w:color w:val="000000" w:themeColor="text1"/>
          <w:spacing w:val="2"/>
          <w:sz w:val="24"/>
          <w:szCs w:val="24"/>
        </w:rPr>
        <w:t> </w:t>
      </w:r>
    </w:p>
    <w:p w14:paraId="56BC245C" w14:textId="77777777" w:rsidR="00AD0955" w:rsidRPr="00312A83" w:rsidRDefault="00AD0955" w:rsidP="00312A83">
      <w:pPr>
        <w:tabs>
          <w:tab w:val="left" w:pos="284"/>
        </w:tabs>
        <w:spacing w:before="240" w:after="0" w:line="240" w:lineRule="auto"/>
        <w:contextualSpacing/>
        <w:jc w:val="both"/>
        <w:outlineLvl w:val="0"/>
        <w:rPr>
          <w:rFonts w:ascii="Times New Roman" w:hAnsi="Times New Roman" w:cs="Times New Roman"/>
          <w:b/>
          <w:bCs/>
          <w:color w:val="000000" w:themeColor="text1"/>
          <w:spacing w:val="2"/>
          <w:sz w:val="24"/>
          <w:szCs w:val="24"/>
        </w:rPr>
      </w:pPr>
    </w:p>
    <w:p w14:paraId="58F3ADB9"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
          <w:bCs/>
          <w:i/>
          <w:iCs/>
          <w:color w:val="000000" w:themeColor="text1"/>
          <w:spacing w:val="2"/>
          <w:sz w:val="24"/>
          <w:szCs w:val="24"/>
          <w:rtl/>
          <w:lang w:bidi="fa-IR"/>
        </w:rPr>
      </w:pPr>
      <w:r w:rsidRPr="00312A83">
        <w:rPr>
          <w:rFonts w:ascii="Times New Roman" w:hAnsi="Times New Roman" w:cs="Times New Roman"/>
          <w:b/>
          <w:bCs/>
          <w:i/>
          <w:iCs/>
          <w:color w:val="000000" w:themeColor="text1"/>
          <w:spacing w:val="2"/>
          <w:sz w:val="24"/>
          <w:szCs w:val="24"/>
        </w:rPr>
        <w:t xml:space="preserve">Drugs and experimental design </w:t>
      </w:r>
    </w:p>
    <w:p w14:paraId="175C82C1" w14:textId="0ACBB790" w:rsidR="00312A83" w:rsidRPr="00281A3C" w:rsidRDefault="00312A83" w:rsidP="00312A83">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Fresh solutions of Lina (Merck, Germany) and MNZ (Sigma Chemicals Co, USA) were prepared at the beginning of each experiment by dissolving the compounds in normal saline.</w:t>
      </w:r>
    </w:p>
    <w:p w14:paraId="444DD67F" w14:textId="77777777" w:rsidR="00AD0955" w:rsidRPr="00312A83" w:rsidRDefault="00AD0955" w:rsidP="00312A83">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Pr>
      </w:pPr>
    </w:p>
    <w:p w14:paraId="5310D2D8"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i/>
          <w:iCs/>
          <w:color w:val="000000" w:themeColor="text1"/>
          <w:spacing w:val="2"/>
          <w:sz w:val="24"/>
          <w:szCs w:val="24"/>
        </w:rPr>
      </w:pPr>
      <w:r w:rsidRPr="00312A83">
        <w:rPr>
          <w:rFonts w:ascii="Times New Roman" w:hAnsi="Times New Roman" w:cs="Times New Roman"/>
          <w:b/>
          <w:bCs/>
          <w:i/>
          <w:iCs/>
          <w:color w:val="000000" w:themeColor="text1"/>
          <w:spacing w:val="2"/>
          <w:sz w:val="24"/>
          <w:szCs w:val="24"/>
        </w:rPr>
        <w:t>Grouping and Treatment Protocols</w:t>
      </w:r>
    </w:p>
    <w:p w14:paraId="4775932B"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Rats were randomly assigned to six groups, each consisting of 9 animals. The treatment protocols were as follows:</w:t>
      </w:r>
    </w:p>
    <w:p w14:paraId="049BA547" w14:textId="77777777" w:rsidR="00312A83" w:rsidRPr="00312A83" w:rsidRDefault="00312A83" w:rsidP="00281A3C">
      <w:pPr>
        <w:numPr>
          <w:ilvl w:val="0"/>
          <w:numId w:val="31"/>
        </w:numPr>
        <w:tabs>
          <w:tab w:val="clear" w:pos="720"/>
          <w:tab w:val="left" w:pos="142"/>
          <w:tab w:val="num" w:pos="426"/>
        </w:tabs>
        <w:spacing w:before="240" w:after="0" w:line="240" w:lineRule="auto"/>
        <w:ind w:left="284" w:hanging="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Control Group: Received no active treatment or exposure, serving as the baseline.</w:t>
      </w:r>
    </w:p>
    <w:p w14:paraId="6220414C" w14:textId="77777777" w:rsidR="00312A83" w:rsidRPr="00312A83" w:rsidRDefault="00312A83" w:rsidP="00281A3C">
      <w:pPr>
        <w:numPr>
          <w:ilvl w:val="0"/>
          <w:numId w:val="31"/>
        </w:numPr>
        <w:tabs>
          <w:tab w:val="clear" w:pos="720"/>
          <w:tab w:val="left" w:pos="142"/>
          <w:tab w:val="num" w:pos="426"/>
        </w:tabs>
        <w:spacing w:before="240" w:after="0" w:line="240" w:lineRule="auto"/>
        <w:ind w:left="284" w:hanging="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Lina (20 mg/kg) Group: Administered oral doses of Lina (20 mg/kg) via gavage daily for 21 days.</w:t>
      </w:r>
    </w:p>
    <w:p w14:paraId="0A75FCC5" w14:textId="77777777" w:rsidR="00312A83" w:rsidRPr="00312A83" w:rsidRDefault="00312A83" w:rsidP="00281A3C">
      <w:pPr>
        <w:numPr>
          <w:ilvl w:val="0"/>
          <w:numId w:val="31"/>
        </w:numPr>
        <w:tabs>
          <w:tab w:val="clear" w:pos="720"/>
          <w:tab w:val="left" w:pos="142"/>
          <w:tab w:val="num" w:pos="426"/>
        </w:tabs>
        <w:spacing w:before="240" w:after="0" w:line="240" w:lineRule="auto"/>
        <w:ind w:left="284" w:hanging="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MNZ Group: Received intraperitoneal injections of MNZ at a dose of 40 mg/kg, three times per week, totaling 20 injections over six weeks.</w:t>
      </w:r>
    </w:p>
    <w:p w14:paraId="6B6EC437" w14:textId="77777777" w:rsidR="00312A83" w:rsidRPr="00312A83" w:rsidRDefault="00312A83" w:rsidP="00281A3C">
      <w:pPr>
        <w:numPr>
          <w:ilvl w:val="0"/>
          <w:numId w:val="31"/>
        </w:numPr>
        <w:tabs>
          <w:tab w:val="clear" w:pos="720"/>
          <w:tab w:val="left" w:pos="142"/>
          <w:tab w:val="num" w:pos="426"/>
        </w:tabs>
        <w:spacing w:before="240" w:after="0" w:line="240" w:lineRule="auto"/>
        <w:ind w:left="284" w:hanging="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 Lina (0.5 mg/kg) + MNZ Group: Received oral Lina at 0.5 mg/kg daily for 21 days, </w:t>
      </w:r>
      <w:r w:rsidRPr="00312A83">
        <w:rPr>
          <w:rFonts w:ascii="Times New Roman" w:hAnsi="Times New Roman" w:cs="Times New Roman"/>
          <w:bCs/>
          <w:color w:val="000000" w:themeColor="text1"/>
          <w:spacing w:val="2"/>
          <w:sz w:val="24"/>
          <w:szCs w:val="24"/>
        </w:rPr>
        <w:t>along with intraperitoneal MNZ at 40 mg/kg, three times per week.</w:t>
      </w:r>
    </w:p>
    <w:p w14:paraId="136A6A18" w14:textId="77777777" w:rsidR="00312A83" w:rsidRPr="00312A83" w:rsidRDefault="00312A83" w:rsidP="00281A3C">
      <w:pPr>
        <w:numPr>
          <w:ilvl w:val="0"/>
          <w:numId w:val="31"/>
        </w:numPr>
        <w:tabs>
          <w:tab w:val="clear" w:pos="720"/>
          <w:tab w:val="left" w:pos="142"/>
          <w:tab w:val="num" w:pos="426"/>
        </w:tabs>
        <w:spacing w:before="240" w:after="0" w:line="240" w:lineRule="auto"/>
        <w:ind w:left="142" w:hanging="142"/>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Lina (10 mg/kg) + MNZ Group: Administered oral Lina at 10 mg/kg daily for 21 days, combined with intraperitoneal MNZ at 40 mg/kg, three times per week.</w:t>
      </w:r>
    </w:p>
    <w:p w14:paraId="7474D4C9" w14:textId="77777777" w:rsidR="00312A83" w:rsidRPr="00312A83" w:rsidRDefault="00312A83" w:rsidP="00281A3C">
      <w:pPr>
        <w:numPr>
          <w:ilvl w:val="0"/>
          <w:numId w:val="31"/>
        </w:numPr>
        <w:tabs>
          <w:tab w:val="clear" w:pos="720"/>
          <w:tab w:val="left" w:pos="284"/>
          <w:tab w:val="num" w:pos="426"/>
        </w:tabs>
        <w:spacing w:before="240" w:after="0" w:line="240" w:lineRule="auto"/>
        <w:ind w:left="142" w:hanging="142"/>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Lina (20 mg/kg) + MNZ Group: Received oral Lina at 20 mg/kg daily for 21 days, concurrently with intraperitoneal MNZ at 40 mg/kg, three times per week.</w:t>
      </w:r>
    </w:p>
    <w:p w14:paraId="41141A75" w14:textId="04A608DA" w:rsidR="00312A83" w:rsidRPr="00281A3C" w:rsidRDefault="00312A83" w:rsidP="00AD0955">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All treatments were conducted according to previous studies, optimizing doses for maximal effects on inflammatory and oxidative markers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&lt;EndNote&gt;&lt;Cite&gt;&lt;Author&gt;Morales-Ovalles&lt;/Author&gt;&lt;Year&gt;2018&lt;/Year&gt;&lt;RecNum&gt;11&lt;/RecNum&gt;&lt;DisplayText&gt;(14, 15)&lt;/DisplayText&gt;&lt;record&gt;&lt;rec-number&gt;11&lt;/rec-number&gt;&lt;foreign-keys&gt;&lt;key app="EN" db-id="0xx9ad9t8ft2a4ev0z1p0vatrvsp922datr9" timestamp="1752341740"&gt;11&lt;/key&gt;&lt;/foreign-keys&gt;&lt;ref-type name="Journal Article"&gt;17&lt;/ref-type&gt;&lt;contributors&gt;&lt;authors&gt;&lt;author&gt;Morales-Ovalles, Yasmin&lt;/author&gt;&lt;author&gt;Miranda-Contreras, Leticia&lt;/author&gt;&lt;author&gt;Peña-Contreras, Zulma&lt;/author&gt;&lt;author&gt;Dávila-Vera, Delsy&lt;/author&gt;&lt;author&gt;Balza-Quintero, Alirio&lt;/author&gt;&lt;author&gt;Sánchez-Gil, Beluardi&lt;/author&gt;&lt;author&gt;Mendoza-Briceño, Rosa Virginia&lt;/author&gt;&lt;/authors&gt;&lt;/contributors&gt;&lt;titles&gt;&lt;title&gt;Developmental exposure to mancozeb induced neurochemical and morphological alterations in adult male mouse hypothalamus&lt;/title&gt;&lt;secondary-title&gt;Environmental Toxicology and Pharmacology&lt;/secondary-title&gt;&lt;/titles&gt;&lt;periodical&gt;&lt;full-title&gt;Environmental toxicology and pharmacology&lt;/full-title&gt;&lt;/periodical&gt;&lt;pages&gt;139-146&lt;/pages&gt;&lt;volume&gt;64&lt;/volume&gt;&lt;dates&gt;&lt;year&gt;2018&lt;/year&gt;&lt;/dates&gt;&lt;isbn&gt;1382-6689&lt;/isbn&gt;&lt;urls&gt;&lt;/urls&gt;&lt;/record&gt;&lt;/Cite&gt;&lt;Cite&gt;&lt;Author&gt;Abhangi&lt;/Author&gt;&lt;Year&gt;2022&lt;/Year&gt;&lt;RecNum&gt;12&lt;/RecNum&gt;&lt;record&gt;&lt;rec-number&gt;12&lt;/rec-number&gt;&lt;foreign-keys&gt;&lt;key app="EN" db-id="0xx9ad9t8ft2a4ev0z1p0vatrvsp922datr9" timestamp="1752341762"&gt;12&lt;/key&gt;&lt;/foreign-keys&gt;&lt;ref-type name="Journal Article"&gt;17&lt;/ref-type&gt;&lt;contributors&gt;&lt;authors&gt;&lt;author&gt;Abhangi, Kinjal V&lt;/author&gt;&lt;author&gt;Patel, Jigneshkumar Ishwarlal&lt;/author&gt;&lt;/authors&gt;&lt;/contributors&gt;&lt;titles&gt;&lt;title&gt;Neuroprotective effects of linagliptin in a rotenone-induced rat model of Parkinson&amp;apos;s disease&lt;/title&gt;&lt;secondary-title&gt;Indian Journal of Pharmacology&lt;/secondary-title&gt;&lt;/titles&gt;&lt;periodical&gt;&lt;full-title&gt;Indian Journal of Pharmacology&lt;/full-title&gt;&lt;/periodical&gt;&lt;pages&gt;46-50&lt;/pages&gt;&lt;volume&gt;54&lt;/volume&gt;&lt;number&gt;1&lt;/number&gt;&lt;dates&gt;&lt;year&gt;2022&lt;/year&gt;&lt;/dates&gt;&lt;isbn&gt;0253-7613&lt;/isbn&gt;&lt;urls&gt;&lt;/urls&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(14, 15)</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w:t>
      </w:r>
    </w:p>
    <w:p w14:paraId="70AE43AC" w14:textId="77777777" w:rsidR="00AD0955" w:rsidRPr="00312A83" w:rsidRDefault="00AD0955" w:rsidP="00AD0955">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pPr>
    </w:p>
    <w:p w14:paraId="3B47C2A9"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i/>
          <w:iCs/>
          <w:color w:val="000000" w:themeColor="text1"/>
          <w:spacing w:val="2"/>
          <w:sz w:val="24"/>
          <w:szCs w:val="24"/>
        </w:rPr>
      </w:pPr>
      <w:r w:rsidRPr="00312A83">
        <w:rPr>
          <w:rFonts w:ascii="Times New Roman" w:hAnsi="Times New Roman" w:cs="Times New Roman"/>
          <w:b/>
          <w:bCs/>
          <w:i/>
          <w:iCs/>
          <w:color w:val="000000" w:themeColor="text1"/>
          <w:spacing w:val="2"/>
          <w:sz w:val="24"/>
          <w:szCs w:val="24"/>
        </w:rPr>
        <w:t>Sample Collection and Tissue Preparation</w:t>
      </w:r>
    </w:p>
    <w:p w14:paraId="4B03A429"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Animals were anesthetized with an intraperitoneal injection of ketamine (100 mg/kg) and xylazine (10 mg/kg). Once they were adequately anesthetized, blood samples were collected via cardiac puncture. Following blood collection, the rats were euthanized, and their necks were carefully incised using scissors to extract the thyroid tissue.</w:t>
      </w:r>
    </w:p>
    <w:p w14:paraId="65BD9FC5" w14:textId="68670B54" w:rsidR="00312A83" w:rsidRPr="00281A3C" w:rsidRDefault="00312A83" w:rsidP="00281A3C">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Due to the small size of the thyroid gland, blood samples were used to measure systemic antioxidant enzyme activities, including catalase (CAT), and superoxide dismutase (SOD). A portion of each thyroid gland was immediately frozen at -70 </w:t>
      </w:r>
      <w:r w:rsidRPr="00312A83">
        <w:rPr>
          <w:rFonts w:ascii="Times New Roman" w:hAnsi="Times New Roman" w:cs="Times New Roman"/>
          <w:bCs/>
          <w:color w:val="000000" w:themeColor="text1"/>
          <w:spacing w:val="2"/>
          <w:sz w:val="24"/>
          <w:szCs w:val="24"/>
        </w:rPr>
        <w:sym w:font="Symbol" w:char="F0B0"/>
      </w:r>
      <w:r w:rsidRPr="00312A83">
        <w:rPr>
          <w:rFonts w:ascii="Times New Roman" w:hAnsi="Times New Roman" w:cs="Times New Roman"/>
          <w:bCs/>
          <w:color w:val="000000" w:themeColor="text1"/>
          <w:spacing w:val="2"/>
          <w:sz w:val="24"/>
          <w:szCs w:val="24"/>
        </w:rPr>
        <w:t>C for subsequent analysis of tissue oxidative stress markers, such as malondialdehyde (MDA) and total thiol content. Another portion was fixed in 10% formalin for histological examination.</w:t>
      </w:r>
    </w:p>
    <w:p w14:paraId="542A7A71" w14:textId="77777777" w:rsidR="00AD0955" w:rsidRPr="00312A83" w:rsidRDefault="00AD0955" w:rsidP="00312A83">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Pr>
      </w:pPr>
    </w:p>
    <w:p w14:paraId="36A73178"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i/>
          <w:iCs/>
          <w:color w:val="000000" w:themeColor="text1"/>
          <w:spacing w:val="2"/>
          <w:sz w:val="24"/>
          <w:szCs w:val="24"/>
        </w:rPr>
      </w:pPr>
      <w:r w:rsidRPr="00312A83">
        <w:rPr>
          <w:rFonts w:ascii="Times New Roman" w:hAnsi="Times New Roman" w:cs="Times New Roman"/>
          <w:b/>
          <w:bCs/>
          <w:i/>
          <w:iCs/>
          <w:color w:val="000000" w:themeColor="text1"/>
          <w:spacing w:val="2"/>
          <w:sz w:val="24"/>
          <w:szCs w:val="24"/>
        </w:rPr>
        <w:t>Histological Examination of Thyroid Tissue</w:t>
      </w:r>
    </w:p>
    <w:p w14:paraId="47218775" w14:textId="77777777" w:rsidR="00312A83" w:rsidRPr="00312A83" w:rsidRDefault="00312A83" w:rsidP="00312A83">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Pr>
      </w:pPr>
      <w:r w:rsidRPr="00312A83">
        <w:rPr>
          <w:rFonts w:ascii="Times New Roman" w:hAnsi="Times New Roman" w:cs="Times New Roman"/>
          <w:bCs/>
          <w:color w:val="000000" w:themeColor="text1"/>
          <w:spacing w:val="2"/>
          <w:sz w:val="24"/>
          <w:szCs w:val="24"/>
        </w:rPr>
        <w:t xml:space="preserve">The formalin-fixed thyroid tissues were routinely processed, embedded in paraffin, and sectioned at a thickness of 5 μm. Tissue sections were stained with hematoxylin and eosin (H&amp;E) to evaluate histopathological changes. The slides were examined under a light microscope, and histopathological findings were documented and scored based on the standard criteria for thyroid tissue alterations (Table 1) </w:t>
      </w:r>
      <w:r w:rsidRPr="00312A83">
        <w:rPr>
          <w:rFonts w:ascii="Times New Roman" w:hAnsi="Times New Roman" w:cs="Times New Roman"/>
          <w:bCs/>
          <w:color w:val="000000" w:themeColor="text1"/>
          <w:spacing w:val="2"/>
          <w:sz w:val="24"/>
          <w:szCs w:val="24"/>
        </w:rPr>
        <w:fldChar w:fldCharType="begin"/>
      </w:r>
      <w:r w:rsidRPr="00312A83">
        <w:rPr>
          <w:rFonts w:ascii="Times New Roman" w:hAnsi="Times New Roman" w:cs="Times New Roman"/>
          <w:bCs/>
          <w:color w:val="000000" w:themeColor="text1"/>
          <w:spacing w:val="2"/>
          <w:sz w:val="24"/>
          <w:szCs w:val="24"/>
        </w:rPr>
        <w:instrText xml:space="preserve"> ADDIN EN.CITE &lt;EndNote&gt;&lt;Cite&gt;&lt;Author&gt;Karimi&lt;/Author&gt;&lt;Year&gt;2025&lt;/Year&gt;&lt;RecNum&gt;1309&lt;/RecNum&gt;&lt;DisplayText&gt;(16)&lt;/DisplayText&gt;&lt;record&gt;&lt;rec-number&gt;1309&lt;/rec-number&gt;&lt;foreign-keys&gt;&lt;key app="EN" db-id="sd202vveyraspyetzzi5dswz5wwrv0pw9ava" timestamp="1755410831"&gt;1309&lt;/key&gt;&lt;/foreign-keys&gt;&lt;ref-type name="Journal Article"&gt;17&lt;/ref-type&gt;&lt;contributors&gt;&lt;authors&gt;&lt;author&gt;Karimi, Samaneh&lt;/author&gt;&lt;author&gt;Koohpeyma, Farhad&lt;/author&gt;&lt;author&gt;Khorsandi, Layasadat&lt;/author&gt;&lt;author&gt;Panahi, Armin&lt;/author&gt;&lt;author&gt;Rezaei-Tazangi, Fatemeh&lt;/author&gt;&lt;author&gt;Fakhredini, Fereshtesadat&lt;/author&gt;&lt;/authors&gt;&lt;/contributors&gt;&lt;auth-address&gt;Cellular and Molecular Research Center, Medical Basic Sciences Research Institute, Ahvaz Jundishapur University of Medical Sciences, Ahvaz, Iran &amp;amp; Department of Anatomical Sciences, Faculty of Medicine, Ahvaz Jundishapur University of Medical Sciences, Ahvaz, Iran.&lt;/auth-address&gt;&lt;titles&gt;&lt;title&gt;Comparative Analysis of Curcumin and Metformin Effects on the Kidney in a Model of Unilateral Nephrectomy and Ischemia-Reperfusion Injury %J Reports of Biochemistry and Molecular Biology&lt;/title&gt;&lt;short-title&gt;Curcumin and Metformin Effects on the Kidney&lt;/short-title&gt;&lt;/titles&gt;&lt;pages&gt;579-589&lt;/pages&gt;&lt;volume&gt;13&lt;/volume&gt;&lt;number&gt;4&lt;/number&gt;&lt;section&gt;579&lt;/section&gt;&lt;keywords&gt;&lt;keyword&gt;Curcuminoid, Ischemia-reperfusion injury, Metformin, Unilateral nephrectomy.&lt;/keyword&gt;&lt;/keywords&gt;&lt;dates&gt;&lt;year&gt;2025&lt;/year&gt;&lt;/dates&gt;&lt;isbn&gt;2322-3480&lt;/isbn&gt;&lt;call-num&gt;A-10-1700-1&lt;/call-num&gt;&lt;work-type&gt;Original Article&lt;/work-type&gt;&lt;urls&gt;&lt;related-urls&gt;&lt;url&gt;http://rbmb.net/article-1-1570-en.html&lt;/url&gt;&lt;/related-urls&gt;&lt;pdf-urls&gt;&lt;url&gt;http://rbmb.net/article-1-1570-en.pdf&lt;/url&gt;&lt;/pdf-urls&gt;&lt;/urls&gt;&lt;language&gt;eng&lt;/language&gt;&lt;access-date&gt;2025&lt;/access-date&gt;&lt;/record&gt;&lt;/Cite&gt;&lt;/EndNote&gt;</w:instrText>
      </w:r>
      <w:r w:rsidRPr="00312A83">
        <w:rPr>
          <w:rFonts w:ascii="Times New Roman" w:hAnsi="Times New Roman" w:cs="Times New Roman"/>
          <w:bCs/>
          <w:color w:val="000000" w:themeColor="text1"/>
          <w:spacing w:val="2"/>
          <w:sz w:val="24"/>
          <w:szCs w:val="24"/>
        </w:rPr>
        <w:fldChar w:fldCharType="separate"/>
      </w:r>
      <w:r w:rsidRPr="00312A83">
        <w:rPr>
          <w:rFonts w:ascii="Times New Roman" w:hAnsi="Times New Roman" w:cs="Times New Roman"/>
          <w:bCs/>
          <w:color w:val="000000" w:themeColor="text1"/>
          <w:spacing w:val="2"/>
          <w:sz w:val="24"/>
          <w:szCs w:val="24"/>
        </w:rPr>
        <w:t>(16)</w:t>
      </w:r>
      <w:r w:rsidRPr="00312A83">
        <w:rPr>
          <w:rFonts w:ascii="Times New Roman" w:hAnsi="Times New Roman" w:cs="Times New Roman"/>
          <w:bCs/>
          <w:color w:val="000000" w:themeColor="text1"/>
          <w:spacing w:val="2"/>
          <w:sz w:val="24"/>
          <w:szCs w:val="24"/>
        </w:rPr>
        <w:fldChar w:fldCharType="end"/>
      </w:r>
      <w:r w:rsidRPr="00312A83">
        <w:rPr>
          <w:rFonts w:ascii="Times New Roman" w:hAnsi="Times New Roman" w:cs="Times New Roman"/>
          <w:bCs/>
          <w:color w:val="000000" w:themeColor="text1"/>
          <w:spacing w:val="2"/>
          <w:sz w:val="24"/>
          <w:szCs w:val="24"/>
        </w:rPr>
        <w:t>.</w:t>
      </w:r>
    </w:p>
    <w:p w14:paraId="1D8029CF" w14:textId="77777777" w:rsidR="00434FCB" w:rsidRDefault="00434FCB" w:rsidP="00DA505F">
      <w:pPr>
        <w:tabs>
          <w:tab w:val="left" w:pos="284"/>
        </w:tabs>
        <w:spacing w:before="240" w:after="0" w:line="240" w:lineRule="auto"/>
        <w:contextualSpacing/>
        <w:jc w:val="both"/>
        <w:outlineLvl w:val="0"/>
        <w:rPr>
          <w:rFonts w:ascii="Times New Roman" w:hAnsi="Times New Roman" w:cs="Times New Roman"/>
          <w:b/>
          <w:bCs/>
          <w:color w:val="000000" w:themeColor="text1"/>
          <w:sz w:val="24"/>
          <w:szCs w:val="24"/>
        </w:rPr>
        <w:sectPr w:rsidR="00434FCB" w:rsidSect="004A75E8">
          <w:type w:val="continuous"/>
          <w:pgSz w:w="11907" w:h="16840" w:code="9"/>
          <w:pgMar w:top="1588" w:right="1134" w:bottom="1588" w:left="1134" w:header="680" w:footer="680" w:gutter="0"/>
          <w:cols w:num="2" w:space="720"/>
          <w:titlePg/>
          <w:docGrid w:linePitch="360"/>
        </w:sectPr>
      </w:pPr>
    </w:p>
    <w:p w14:paraId="086545CF" w14:textId="77777777" w:rsidR="00434FCB" w:rsidRPr="006409EC" w:rsidRDefault="00434FCB" w:rsidP="00DA505F">
      <w:pPr>
        <w:tabs>
          <w:tab w:val="left" w:pos="284"/>
        </w:tabs>
        <w:spacing w:before="240" w:after="0" w:line="240" w:lineRule="auto"/>
        <w:contextualSpacing/>
        <w:jc w:val="both"/>
        <w:outlineLvl w:val="0"/>
        <w:rPr>
          <w:rFonts w:ascii="Times New Roman" w:hAnsi="Times New Roman" w:cs="Times New Roman"/>
          <w:b/>
          <w:bCs/>
          <w:color w:val="000000" w:themeColor="text1"/>
          <w:sz w:val="12"/>
          <w:szCs w:val="12"/>
        </w:rPr>
      </w:pPr>
    </w:p>
    <w:p w14:paraId="62FCB5AA" w14:textId="77777777" w:rsidR="00281A3C" w:rsidRDefault="00281A3C" w:rsidP="00281A3C">
      <w:pPr>
        <w:tabs>
          <w:tab w:val="left" w:pos="284"/>
        </w:tabs>
        <w:spacing w:before="240" w:after="0" w:line="240" w:lineRule="auto"/>
        <w:contextualSpacing/>
        <w:jc w:val="center"/>
        <w:outlineLvl w:val="0"/>
        <w:rPr>
          <w:rFonts w:ascii="Times New Roman" w:hAnsi="Times New Roman" w:cs="Times New Roman"/>
          <w:b/>
          <w:bCs/>
          <w:color w:val="000000" w:themeColor="text1"/>
        </w:rPr>
      </w:pPr>
    </w:p>
    <w:p w14:paraId="0232AC4B" w14:textId="77777777" w:rsidR="00281A3C" w:rsidRDefault="00281A3C" w:rsidP="00281A3C">
      <w:pPr>
        <w:tabs>
          <w:tab w:val="left" w:pos="284"/>
        </w:tabs>
        <w:spacing w:before="240" w:after="0" w:line="240" w:lineRule="auto"/>
        <w:contextualSpacing/>
        <w:jc w:val="center"/>
        <w:outlineLvl w:val="0"/>
        <w:rPr>
          <w:rFonts w:ascii="Times New Roman" w:hAnsi="Times New Roman" w:cs="Times New Roman"/>
          <w:b/>
          <w:bCs/>
          <w:color w:val="000000" w:themeColor="text1"/>
        </w:rPr>
      </w:pPr>
    </w:p>
    <w:p w14:paraId="30E49643" w14:textId="13D23472" w:rsidR="00434FCB" w:rsidRPr="00434FCB" w:rsidRDefault="00434FCB" w:rsidP="00281A3C">
      <w:pPr>
        <w:tabs>
          <w:tab w:val="left" w:pos="284"/>
        </w:tabs>
        <w:spacing w:before="240" w:after="0" w:line="240" w:lineRule="auto"/>
        <w:contextualSpacing/>
        <w:jc w:val="center"/>
        <w:outlineLvl w:val="0"/>
        <w:rPr>
          <w:rFonts w:ascii="Times New Roman" w:hAnsi="Times New Roman" w:cs="Times New Roman"/>
          <w:i/>
          <w:iCs/>
          <w:color w:val="000000" w:themeColor="text1"/>
        </w:rPr>
      </w:pPr>
      <w:r w:rsidRPr="00434FCB">
        <w:rPr>
          <w:rFonts w:ascii="Times New Roman" w:hAnsi="Times New Roman" w:cs="Times New Roman"/>
          <w:b/>
          <w:bCs/>
          <w:color w:val="000000" w:themeColor="text1"/>
        </w:rPr>
        <w:lastRenderedPageBreak/>
        <w:t xml:space="preserve">Table </w:t>
      </w:r>
      <w:r w:rsidRPr="00434FCB">
        <w:rPr>
          <w:rFonts w:ascii="Times New Roman" w:hAnsi="Times New Roman" w:cs="Times New Roman"/>
          <w:b/>
          <w:bCs/>
          <w:color w:val="000000" w:themeColor="text1"/>
        </w:rPr>
        <w:fldChar w:fldCharType="begin"/>
      </w:r>
      <w:r w:rsidRPr="00434FCB">
        <w:rPr>
          <w:rFonts w:ascii="Times New Roman" w:hAnsi="Times New Roman" w:cs="Times New Roman"/>
          <w:b/>
          <w:bCs/>
          <w:color w:val="000000" w:themeColor="text1"/>
        </w:rPr>
        <w:instrText xml:space="preserve"> SEQ Table \* ARABIC </w:instrText>
      </w:r>
      <w:r w:rsidRPr="00434FCB">
        <w:rPr>
          <w:rFonts w:ascii="Times New Roman" w:hAnsi="Times New Roman" w:cs="Times New Roman"/>
          <w:b/>
          <w:bCs/>
          <w:color w:val="000000" w:themeColor="text1"/>
        </w:rPr>
        <w:fldChar w:fldCharType="separate"/>
      </w:r>
      <w:r w:rsidRPr="00434FCB">
        <w:rPr>
          <w:rFonts w:ascii="Times New Roman" w:hAnsi="Times New Roman" w:cs="Times New Roman"/>
          <w:b/>
          <w:bCs/>
          <w:color w:val="000000" w:themeColor="text1"/>
        </w:rPr>
        <w:t>1</w:t>
      </w:r>
      <w:r w:rsidRPr="00434FCB">
        <w:rPr>
          <w:rFonts w:ascii="Times New Roman" w:hAnsi="Times New Roman" w:cs="Times New Roman"/>
          <w:b/>
          <w:bCs/>
          <w:color w:val="000000" w:themeColor="text1"/>
        </w:rPr>
        <w:fldChar w:fldCharType="end"/>
      </w:r>
      <w:r w:rsidRPr="00434FCB">
        <w:rPr>
          <w:rFonts w:ascii="Times New Roman" w:hAnsi="Times New Roman" w:cs="Times New Roman"/>
          <w:b/>
          <w:bCs/>
          <w:color w:val="000000" w:themeColor="text1"/>
        </w:rPr>
        <w:t xml:space="preserve">. </w:t>
      </w:r>
      <w:r w:rsidR="00281A3C" w:rsidRPr="00281A3C">
        <w:rPr>
          <w:rFonts w:ascii="Times New Roman" w:hAnsi="Times New Roman" w:cs="Times New Roman"/>
          <w:color w:val="000000" w:themeColor="text1"/>
        </w:rPr>
        <w:t xml:space="preserve">Severity grading scheme for follicular cell hyperplasia and follicular cell hypertrophy </w:t>
      </w:r>
      <w:r w:rsidR="00281A3C" w:rsidRPr="00281A3C">
        <w:rPr>
          <w:rFonts w:ascii="Times New Roman" w:hAnsi="Times New Roman" w:cs="Times New Roman"/>
          <w:color w:val="000000" w:themeColor="text1"/>
        </w:rPr>
        <w:fldChar w:fldCharType="begin"/>
      </w:r>
      <w:r w:rsidR="00281A3C" w:rsidRPr="00281A3C">
        <w:rPr>
          <w:rFonts w:ascii="Times New Roman" w:hAnsi="Times New Roman" w:cs="Times New Roman"/>
          <w:color w:val="000000" w:themeColor="text1"/>
        </w:rPr>
        <w:instrText xml:space="preserve"> ADDIN EN.CITE &lt;EndNote&gt;&lt;Cite&gt;&lt;Author&gt;Grim&lt;/Author&gt;&lt;Year&gt;2009&lt;/Year&gt;&lt;RecNum&gt;25&lt;/RecNum&gt;&lt;DisplayText&gt;(11)&lt;/DisplayText&gt;&lt;record&gt;&lt;rec-number&gt;25&lt;/rec-number&gt;&lt;foreign-keys&gt;&lt;key app="EN" db-id="0xx9ad9t8ft2a4ev0z1p0vatrvsp922datr9" timestamp="1752342283"&gt;25&lt;/key&gt;&lt;/foreign-keys&gt;&lt;ref-type name="Journal Article"&gt;17&lt;/ref-type&gt;&lt;contributors&gt;&lt;authors&gt;&lt;author&gt;Grim, K Christiana&lt;/author&gt;&lt;author&gt;Wolfe, Marilyn&lt;/author&gt;&lt;author&gt;Braunbeck, Thomas&lt;/author&gt;&lt;author&gt;Iguchi, Taisen&lt;/author&gt;&lt;author&gt;Ohta, Yasuhiko&lt;/author&gt;&lt;author&gt;Tooi, Osamu&lt;/author&gt;&lt;author&gt;Touart, Les&lt;/author&gt;&lt;author&gt;Wolf, Douglas C&lt;/author&gt;&lt;author&gt;Tietge, Joe&lt;/author&gt;&lt;/authors&gt;&lt;/contributors&gt;&lt;titles&gt;&lt;title&gt;Thyroid histopathology assessments for the amphibian metamorphosis assay to detect thyroid-active substances&lt;/title&gt;&lt;secondary-title&gt;Toxicologic pathology&lt;/secondary-title&gt;&lt;/titles&gt;&lt;periodical&gt;&lt;full-title&gt;Toxicologic pathology&lt;/full-title&gt;&lt;/periodical&gt;&lt;pages&gt;415-424&lt;/pages&gt;&lt;volume&gt;37&lt;/volume&gt;&lt;number&gt;4&lt;/number&gt;&lt;dates&gt;&lt;year&gt;2009&lt;/year&gt;&lt;/dates&gt;&lt;isbn&gt;0192-6233&lt;/isbn&gt;&lt;urls&gt;&lt;/urls&gt;&lt;/record&gt;&lt;/Cite&gt;&lt;/EndNote&gt;</w:instrText>
      </w:r>
      <w:r w:rsidR="00281A3C" w:rsidRPr="00281A3C">
        <w:rPr>
          <w:rFonts w:ascii="Times New Roman" w:hAnsi="Times New Roman" w:cs="Times New Roman"/>
          <w:color w:val="000000" w:themeColor="text1"/>
        </w:rPr>
        <w:fldChar w:fldCharType="separate"/>
      </w:r>
      <w:r w:rsidR="00281A3C" w:rsidRPr="00281A3C">
        <w:rPr>
          <w:rFonts w:ascii="Times New Roman" w:hAnsi="Times New Roman" w:cs="Times New Roman"/>
          <w:color w:val="000000" w:themeColor="text1"/>
        </w:rPr>
        <w:t>(11)</w:t>
      </w:r>
      <w:r w:rsidR="00281A3C" w:rsidRPr="00281A3C">
        <w:rPr>
          <w:rFonts w:ascii="Times New Roman" w:hAnsi="Times New Roman" w:cs="Times New Roman"/>
          <w:color w:val="000000" w:themeColor="text1"/>
        </w:rPr>
        <w:fldChar w:fldCharType="end"/>
      </w:r>
      <w:r w:rsidR="00281A3C" w:rsidRPr="00281A3C">
        <w:rPr>
          <w:rFonts w:ascii="Times New Roman" w:hAnsi="Times New Roman" w:cs="Times New Roman"/>
          <w:color w:val="000000" w:themeColor="text1"/>
        </w:rPr>
        <w:t>.</w:t>
      </w:r>
    </w:p>
    <w:tbl>
      <w:tblPr>
        <w:tblW w:w="0" w:type="auto"/>
        <w:tblCellMar>
          <w:top w:w="15" w:type="dxa"/>
          <w:left w:w="15" w:type="dxa"/>
          <w:bottom w:w="15" w:type="dxa"/>
          <w:right w:w="15" w:type="dxa"/>
        </w:tblCellMar>
        <w:tblLook w:val="04A0" w:firstRow="1" w:lastRow="0" w:firstColumn="1" w:lastColumn="0" w:noHBand="0" w:noVBand="1"/>
      </w:tblPr>
      <w:tblGrid>
        <w:gridCol w:w="1866"/>
        <w:gridCol w:w="2519"/>
        <w:gridCol w:w="4483"/>
        <w:gridCol w:w="761"/>
      </w:tblGrid>
      <w:tr w:rsidR="00281A3C" w:rsidRPr="00B90ECC" w14:paraId="174B909A" w14:textId="77777777" w:rsidTr="000545C1">
        <w:trPr>
          <w:trHeight w:val="481"/>
        </w:trPr>
        <w:tc>
          <w:tcPr>
            <w:tcW w:w="0" w:type="auto"/>
            <w:tcBorders>
              <w:top w:val="single" w:sz="4" w:space="0" w:color="000000"/>
              <w:left w:val="single" w:sz="4" w:space="0" w:color="FFFFFF" w:themeColor="background1"/>
              <w:bottom w:val="single" w:sz="4" w:space="0" w:color="000000"/>
              <w:right w:val="single" w:sz="4" w:space="0" w:color="F2F2F2" w:themeColor="background1" w:themeShade="F2"/>
            </w:tcBorders>
            <w:shd w:val="clear" w:color="auto" w:fill="F2F2F2" w:themeFill="background1" w:themeFillShade="F2"/>
            <w:tcMar>
              <w:top w:w="0" w:type="dxa"/>
              <w:left w:w="108" w:type="dxa"/>
              <w:bottom w:w="0" w:type="dxa"/>
              <w:right w:w="108" w:type="dxa"/>
            </w:tcMar>
            <w:vAlign w:val="center"/>
            <w:hideMark/>
          </w:tcPr>
          <w:p w14:paraId="2B37179E" w14:textId="77777777" w:rsidR="00281A3C" w:rsidRPr="00B90ECC" w:rsidRDefault="00281A3C" w:rsidP="00281A3C">
            <w:pPr>
              <w:spacing w:after="0" w:line="240" w:lineRule="auto"/>
              <w:jc w:val="center"/>
              <w:rPr>
                <w:rFonts w:asciiTheme="majorBidi" w:hAnsiTheme="majorBidi" w:cstheme="majorBidi"/>
              </w:rPr>
            </w:pPr>
            <w:r w:rsidRPr="00B90ECC">
              <w:rPr>
                <w:rFonts w:asciiTheme="majorBidi" w:hAnsiTheme="majorBidi" w:cstheme="majorBidi"/>
                <w:b/>
                <w:bCs/>
              </w:rPr>
              <w:t>Description</w:t>
            </w:r>
          </w:p>
        </w:tc>
        <w:tc>
          <w:tcPr>
            <w:tcW w:w="2519" w:type="dxa"/>
            <w:tcBorders>
              <w:top w:val="single" w:sz="4" w:space="0" w:color="000000"/>
              <w:left w:val="single" w:sz="4" w:space="0" w:color="F2F2F2" w:themeColor="background1" w:themeShade="F2"/>
              <w:bottom w:val="single" w:sz="4" w:space="0" w:color="000000"/>
              <w:right w:val="single" w:sz="4" w:space="0" w:color="F2F2F2" w:themeColor="background1" w:themeShade="F2"/>
            </w:tcBorders>
            <w:shd w:val="clear" w:color="auto" w:fill="F2F2F2" w:themeFill="background1" w:themeFillShade="F2"/>
            <w:tcMar>
              <w:top w:w="0" w:type="dxa"/>
              <w:left w:w="108" w:type="dxa"/>
              <w:bottom w:w="0" w:type="dxa"/>
              <w:right w:w="108" w:type="dxa"/>
            </w:tcMar>
            <w:vAlign w:val="center"/>
            <w:hideMark/>
          </w:tcPr>
          <w:p w14:paraId="7B91C563" w14:textId="77777777" w:rsidR="00281A3C" w:rsidRPr="00B90ECC" w:rsidRDefault="00281A3C" w:rsidP="00281A3C">
            <w:pPr>
              <w:spacing w:after="0" w:line="240" w:lineRule="auto"/>
              <w:jc w:val="center"/>
              <w:rPr>
                <w:rFonts w:asciiTheme="majorBidi" w:hAnsiTheme="majorBidi" w:cstheme="majorBidi"/>
              </w:rPr>
            </w:pPr>
            <w:r w:rsidRPr="00B90ECC">
              <w:rPr>
                <w:rFonts w:asciiTheme="majorBidi" w:hAnsiTheme="majorBidi" w:cstheme="majorBidi"/>
                <w:b/>
                <w:bCs/>
              </w:rPr>
              <w:t>Hypertrophy Criterion</w:t>
            </w:r>
          </w:p>
        </w:tc>
        <w:tc>
          <w:tcPr>
            <w:tcW w:w="4483" w:type="dxa"/>
            <w:tcBorders>
              <w:top w:val="single" w:sz="4" w:space="0" w:color="000000"/>
              <w:left w:val="single" w:sz="4" w:space="0" w:color="F2F2F2" w:themeColor="background1" w:themeShade="F2"/>
              <w:bottom w:val="single" w:sz="4" w:space="0" w:color="000000"/>
              <w:right w:val="single" w:sz="4" w:space="0" w:color="F2F2F2" w:themeColor="background1" w:themeShade="F2"/>
            </w:tcBorders>
            <w:shd w:val="clear" w:color="auto" w:fill="F2F2F2" w:themeFill="background1" w:themeFillShade="F2"/>
            <w:tcMar>
              <w:top w:w="0" w:type="dxa"/>
              <w:left w:w="108" w:type="dxa"/>
              <w:bottom w:w="0" w:type="dxa"/>
              <w:right w:w="108" w:type="dxa"/>
            </w:tcMar>
            <w:vAlign w:val="center"/>
            <w:hideMark/>
          </w:tcPr>
          <w:p w14:paraId="224E61A0" w14:textId="77777777" w:rsidR="00281A3C" w:rsidRPr="00B90ECC" w:rsidRDefault="00281A3C" w:rsidP="00281A3C">
            <w:pPr>
              <w:spacing w:after="0" w:line="240" w:lineRule="auto"/>
              <w:jc w:val="center"/>
              <w:rPr>
                <w:rFonts w:asciiTheme="majorBidi" w:hAnsiTheme="majorBidi" w:cstheme="majorBidi"/>
              </w:rPr>
            </w:pPr>
            <w:r w:rsidRPr="00B90ECC">
              <w:rPr>
                <w:rFonts w:asciiTheme="majorBidi" w:hAnsiTheme="majorBidi" w:cstheme="majorBidi"/>
                <w:b/>
                <w:bCs/>
              </w:rPr>
              <w:t>Hyperplasia Criterion</w:t>
            </w:r>
          </w:p>
        </w:tc>
        <w:tc>
          <w:tcPr>
            <w:tcW w:w="0" w:type="auto"/>
            <w:tcBorders>
              <w:top w:val="single" w:sz="4" w:space="0" w:color="000000"/>
              <w:left w:val="single" w:sz="4" w:space="0" w:color="F2F2F2" w:themeColor="background1" w:themeShade="F2"/>
              <w:bottom w:val="single" w:sz="4" w:space="0" w:color="000000"/>
              <w:right w:val="single" w:sz="4" w:space="0" w:color="FFFFFF" w:themeColor="background1"/>
            </w:tcBorders>
            <w:shd w:val="clear" w:color="auto" w:fill="F2F2F2" w:themeFill="background1" w:themeFillShade="F2"/>
            <w:tcMar>
              <w:top w:w="0" w:type="dxa"/>
              <w:left w:w="108" w:type="dxa"/>
              <w:bottom w:w="0" w:type="dxa"/>
              <w:right w:w="108" w:type="dxa"/>
            </w:tcMar>
            <w:vAlign w:val="center"/>
            <w:hideMark/>
          </w:tcPr>
          <w:p w14:paraId="3403F7F0" w14:textId="77777777" w:rsidR="00281A3C" w:rsidRPr="00B90ECC" w:rsidRDefault="00281A3C" w:rsidP="00281A3C">
            <w:pPr>
              <w:spacing w:after="0" w:line="240" w:lineRule="auto"/>
              <w:jc w:val="center"/>
              <w:rPr>
                <w:rFonts w:asciiTheme="majorBidi" w:hAnsiTheme="majorBidi" w:cstheme="majorBidi"/>
              </w:rPr>
            </w:pPr>
            <w:r w:rsidRPr="00B90ECC">
              <w:rPr>
                <w:rFonts w:asciiTheme="majorBidi" w:hAnsiTheme="majorBidi" w:cstheme="majorBidi"/>
                <w:b/>
                <w:bCs/>
              </w:rPr>
              <w:t>Grade</w:t>
            </w:r>
          </w:p>
        </w:tc>
      </w:tr>
      <w:tr w:rsidR="00281A3C" w:rsidRPr="00B90ECC" w14:paraId="1D41ACC8" w14:textId="77777777" w:rsidTr="000545C1">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48F71253"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Changes are not significant.</w:t>
            </w:r>
          </w:p>
        </w:tc>
        <w:tc>
          <w:tcPr>
            <w:tcW w:w="2519"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4986E4B3"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Less than 20% of cells show hypertrophy</w:t>
            </w:r>
          </w:p>
        </w:tc>
        <w:tc>
          <w:tcPr>
            <w:tcW w:w="4483"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57008C1B"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Follicular cell hyperplasia affects less than 20% of the tissue</w:t>
            </w:r>
          </w:p>
        </w:tc>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4B0BC2EC" w14:textId="77777777" w:rsidR="00281A3C" w:rsidRPr="00B90ECC" w:rsidRDefault="00281A3C" w:rsidP="00281A3C">
            <w:pPr>
              <w:spacing w:after="0" w:line="240" w:lineRule="auto"/>
              <w:ind w:left="-45"/>
              <w:jc w:val="center"/>
              <w:rPr>
                <w:rFonts w:asciiTheme="majorBidi" w:hAnsiTheme="majorBidi" w:cstheme="majorBidi"/>
              </w:rPr>
            </w:pPr>
            <w:r w:rsidRPr="00B90ECC">
              <w:rPr>
                <w:rFonts w:asciiTheme="majorBidi" w:hAnsiTheme="majorBidi" w:cstheme="majorBidi"/>
              </w:rPr>
              <w:t>0</w:t>
            </w:r>
          </w:p>
        </w:tc>
      </w:tr>
      <w:tr w:rsidR="00281A3C" w:rsidRPr="00B90ECC" w14:paraId="0B34FDFA" w14:textId="77777777" w:rsidTr="000545C1">
        <w:trPr>
          <w:trHeight w:val="862"/>
        </w:trPr>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7B8E2E59"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Few changes</w:t>
            </w:r>
          </w:p>
        </w:tc>
        <w:tc>
          <w:tcPr>
            <w:tcW w:w="2519"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1895074B"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30-50% of follicular cells show hypertrophy</w:t>
            </w:r>
          </w:p>
        </w:tc>
        <w:tc>
          <w:tcPr>
            <w:tcW w:w="4483"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28457E92"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Focal or diffuse crowding of follicular cells affecting 30-50% of the tissue, and/or single papillary or multiple follicular cell layers</w:t>
            </w:r>
          </w:p>
        </w:tc>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0D1574F8" w14:textId="77777777" w:rsidR="00281A3C" w:rsidRPr="00B90ECC" w:rsidRDefault="00281A3C" w:rsidP="00281A3C">
            <w:pPr>
              <w:spacing w:after="0" w:line="240" w:lineRule="auto"/>
              <w:ind w:left="-45"/>
              <w:jc w:val="center"/>
              <w:rPr>
                <w:rFonts w:asciiTheme="majorBidi" w:hAnsiTheme="majorBidi" w:cstheme="majorBidi"/>
              </w:rPr>
            </w:pPr>
            <w:r w:rsidRPr="00B90ECC">
              <w:rPr>
                <w:rFonts w:asciiTheme="majorBidi" w:hAnsiTheme="majorBidi" w:cstheme="majorBidi"/>
              </w:rPr>
              <w:t>1</w:t>
            </w:r>
          </w:p>
        </w:tc>
      </w:tr>
      <w:tr w:rsidR="00281A3C" w:rsidRPr="00B90ECC" w14:paraId="3AA515BC" w14:textId="77777777" w:rsidTr="000545C1">
        <w:trPr>
          <w:trHeight w:val="735"/>
        </w:trPr>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0B0015EC"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Moderate changes</w:t>
            </w:r>
          </w:p>
        </w:tc>
        <w:tc>
          <w:tcPr>
            <w:tcW w:w="2519"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1D55B7C2"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60-80% of follicular cells show hypertrophy</w:t>
            </w:r>
          </w:p>
        </w:tc>
        <w:tc>
          <w:tcPr>
            <w:tcW w:w="4483"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7C7749B7"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60% to 80% of follicles show focal hyperplasia characterized by stratified or pseudostratified follicular epithelium. Papillary depressions may be present</w:t>
            </w:r>
          </w:p>
        </w:tc>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0753F32F" w14:textId="77777777" w:rsidR="00281A3C" w:rsidRPr="00B90ECC" w:rsidRDefault="00281A3C" w:rsidP="00281A3C">
            <w:pPr>
              <w:spacing w:after="0" w:line="240" w:lineRule="auto"/>
              <w:ind w:left="-45"/>
              <w:jc w:val="center"/>
              <w:rPr>
                <w:rFonts w:asciiTheme="majorBidi" w:hAnsiTheme="majorBidi" w:cstheme="majorBidi"/>
              </w:rPr>
            </w:pPr>
            <w:r w:rsidRPr="00B90ECC">
              <w:rPr>
                <w:rFonts w:asciiTheme="majorBidi" w:hAnsiTheme="majorBidi" w:cstheme="majorBidi"/>
              </w:rPr>
              <w:t>2</w:t>
            </w:r>
          </w:p>
        </w:tc>
      </w:tr>
      <w:tr w:rsidR="00281A3C" w:rsidRPr="00B90ECC" w14:paraId="01541856" w14:textId="77777777" w:rsidTr="000545C1">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6A3FA7F5"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Significant changes</w:t>
            </w:r>
          </w:p>
        </w:tc>
        <w:tc>
          <w:tcPr>
            <w:tcW w:w="2519"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271B59F7"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More than 80% of follicular cells show hypertrophy</w:t>
            </w:r>
          </w:p>
        </w:tc>
        <w:tc>
          <w:tcPr>
            <w:tcW w:w="4483" w:type="dxa"/>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5F572B26" w14:textId="77777777" w:rsidR="00281A3C" w:rsidRPr="00B90ECC" w:rsidRDefault="00281A3C" w:rsidP="00281A3C">
            <w:pPr>
              <w:spacing w:after="0" w:line="240" w:lineRule="auto"/>
              <w:rPr>
                <w:rFonts w:asciiTheme="majorBidi" w:hAnsiTheme="majorBidi" w:cstheme="majorBidi"/>
              </w:rPr>
            </w:pPr>
            <w:r w:rsidRPr="00B90ECC">
              <w:rPr>
                <w:rFonts w:asciiTheme="majorBidi" w:hAnsiTheme="majorBidi" w:cstheme="majorBidi"/>
              </w:rPr>
              <w:t>More than 80% of the follicles show extensive hyperplasia with stratification 2-3 cell layers. Papillary depressions may be present.</w:t>
            </w:r>
          </w:p>
        </w:tc>
        <w:tc>
          <w:tcPr>
            <w:tcW w:w="0" w:type="auto"/>
            <w:tcBorders>
              <w:top w:val="single" w:sz="4" w:space="0" w:color="000000"/>
              <w:left w:val="single" w:sz="4" w:space="0" w:color="FFFFFF" w:themeColor="background1"/>
              <w:bottom w:val="single" w:sz="4" w:space="0" w:color="000000"/>
              <w:right w:val="single" w:sz="4" w:space="0" w:color="FFFFFF" w:themeColor="background1"/>
            </w:tcBorders>
            <w:tcMar>
              <w:top w:w="0" w:type="dxa"/>
              <w:left w:w="108" w:type="dxa"/>
              <w:bottom w:w="0" w:type="dxa"/>
              <w:right w:w="108" w:type="dxa"/>
            </w:tcMar>
            <w:vAlign w:val="center"/>
            <w:hideMark/>
          </w:tcPr>
          <w:p w14:paraId="2E1F4984" w14:textId="77777777" w:rsidR="00281A3C" w:rsidRPr="00B90ECC" w:rsidRDefault="00281A3C" w:rsidP="00281A3C">
            <w:pPr>
              <w:spacing w:after="0" w:line="240" w:lineRule="auto"/>
              <w:ind w:left="-45"/>
              <w:jc w:val="center"/>
              <w:rPr>
                <w:rFonts w:asciiTheme="majorBidi" w:hAnsiTheme="majorBidi" w:cstheme="majorBidi"/>
              </w:rPr>
            </w:pPr>
            <w:r w:rsidRPr="00B90ECC">
              <w:rPr>
                <w:rFonts w:asciiTheme="majorBidi" w:hAnsiTheme="majorBidi" w:cstheme="majorBidi"/>
              </w:rPr>
              <w:t>3</w:t>
            </w:r>
          </w:p>
        </w:tc>
      </w:tr>
    </w:tbl>
    <w:p w14:paraId="2C76BF6B" w14:textId="77777777" w:rsidR="00281A3C" w:rsidRPr="00DA505F" w:rsidRDefault="00281A3C" w:rsidP="00DA505F">
      <w:pPr>
        <w:tabs>
          <w:tab w:val="left" w:pos="284"/>
        </w:tabs>
        <w:spacing w:before="240" w:after="0" w:line="240" w:lineRule="auto"/>
        <w:contextualSpacing/>
        <w:jc w:val="both"/>
        <w:outlineLvl w:val="0"/>
        <w:rPr>
          <w:rFonts w:ascii="Times New Roman" w:hAnsi="Times New Roman" w:cs="Times New Roman"/>
          <w:b/>
          <w:bCs/>
          <w:color w:val="000000" w:themeColor="text1"/>
          <w:sz w:val="24"/>
          <w:szCs w:val="24"/>
        </w:rPr>
      </w:pPr>
    </w:p>
    <w:p w14:paraId="58C76A4A" w14:textId="77777777" w:rsidR="00434FCB" w:rsidRDefault="00434FCB" w:rsidP="00DC4184">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sectPr w:rsidR="00434FCB" w:rsidSect="00434FCB">
          <w:type w:val="continuous"/>
          <w:pgSz w:w="11907" w:h="16840" w:code="9"/>
          <w:pgMar w:top="1588" w:right="1134" w:bottom="1588" w:left="1134" w:header="680" w:footer="680" w:gutter="0"/>
          <w:cols w:space="720"/>
          <w:titlePg/>
          <w:docGrid w:linePitch="360"/>
        </w:sectPr>
      </w:pPr>
    </w:p>
    <w:p w14:paraId="5CA7BC86"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281A3C">
        <w:rPr>
          <w:rFonts w:ascii="Times New Roman" w:hAnsi="Times New Roman" w:cs="Times New Roman"/>
          <w:b/>
          <w:bCs/>
          <w:i/>
          <w:iCs/>
          <w:color w:val="000000" w:themeColor="text1"/>
          <w:sz w:val="24"/>
          <w:szCs w:val="24"/>
        </w:rPr>
        <w:t>CAT Activity</w:t>
      </w:r>
    </w:p>
    <w:p w14:paraId="29F8508D" w14:textId="5AA405DE" w:rsid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281A3C">
        <w:rPr>
          <w:rFonts w:ascii="Times New Roman" w:hAnsi="Times New Roman" w:cs="Times New Roman"/>
          <w:bCs/>
          <w:color w:val="000000" w:themeColor="text1"/>
          <w:sz w:val="24"/>
          <w:szCs w:val="24"/>
        </w:rPr>
        <w:t>CAT activity in the blood sample was determined using an enzyme-linked immunosorbent assay (ELISA) kit (ZellBio kit, Germany) according to the manufacturer's instructions. The rate of hydrogen peroxide (H</w:t>
      </w:r>
      <w:r w:rsidRPr="00281A3C">
        <w:rPr>
          <w:rFonts w:ascii="Times New Roman" w:hAnsi="Times New Roman" w:cs="Times New Roman"/>
          <w:bCs/>
          <w:color w:val="000000" w:themeColor="text1"/>
          <w:sz w:val="24"/>
          <w:szCs w:val="24"/>
          <w:vertAlign w:val="subscript"/>
        </w:rPr>
        <w:t>2</w:t>
      </w:r>
      <w:r w:rsidRPr="00281A3C">
        <w:rPr>
          <w:rFonts w:ascii="Times New Roman" w:hAnsi="Times New Roman" w:cs="Times New Roman"/>
          <w:bCs/>
          <w:color w:val="000000" w:themeColor="text1"/>
          <w:sz w:val="24"/>
          <w:szCs w:val="24"/>
        </w:rPr>
        <w:t>O</w:t>
      </w:r>
      <w:r w:rsidRPr="00281A3C">
        <w:rPr>
          <w:rFonts w:ascii="Times New Roman" w:hAnsi="Times New Roman" w:cs="Times New Roman"/>
          <w:bCs/>
          <w:color w:val="000000" w:themeColor="text1"/>
          <w:sz w:val="24"/>
          <w:szCs w:val="24"/>
          <w:vertAlign w:val="subscript"/>
        </w:rPr>
        <w:t>2</w:t>
      </w:r>
      <w:r w:rsidRPr="00281A3C">
        <w:rPr>
          <w:rFonts w:ascii="Times New Roman" w:hAnsi="Times New Roman" w:cs="Times New Roman"/>
          <w:bCs/>
          <w:color w:val="000000" w:themeColor="text1"/>
          <w:sz w:val="24"/>
          <w:szCs w:val="24"/>
        </w:rPr>
        <w:t>) decomposition was measured at 570 nm. CAT activity was reported as U/mg of protein.</w:t>
      </w:r>
    </w:p>
    <w:p w14:paraId="6181FF38"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3636EBF8"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281A3C">
        <w:rPr>
          <w:rFonts w:ascii="Times New Roman" w:hAnsi="Times New Roman" w:cs="Times New Roman"/>
          <w:b/>
          <w:bCs/>
          <w:i/>
          <w:iCs/>
          <w:color w:val="000000" w:themeColor="text1"/>
          <w:sz w:val="24"/>
          <w:szCs w:val="24"/>
        </w:rPr>
        <w:t>SOD Activity</w:t>
      </w:r>
    </w:p>
    <w:p w14:paraId="74074C27" w14:textId="532904EC" w:rsid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281A3C">
        <w:rPr>
          <w:rFonts w:ascii="Times New Roman" w:hAnsi="Times New Roman" w:cs="Times New Roman"/>
          <w:bCs/>
          <w:color w:val="000000" w:themeColor="text1"/>
          <w:sz w:val="24"/>
          <w:szCs w:val="24"/>
        </w:rPr>
        <w:t>The SOD was measured using an SOD activity assay kit (ZellBio kit, Germany) according to the manufacturer’s instructions. In this assay, SOD activity was measured at 420 nm and expressed as U/mg protein.</w:t>
      </w:r>
    </w:p>
    <w:p w14:paraId="67AEBC0E"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570163CF"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281A3C">
        <w:rPr>
          <w:rFonts w:ascii="Times New Roman" w:hAnsi="Times New Roman" w:cs="Times New Roman"/>
          <w:b/>
          <w:bCs/>
          <w:i/>
          <w:iCs/>
          <w:color w:val="000000" w:themeColor="text1"/>
          <w:sz w:val="24"/>
          <w:szCs w:val="24"/>
        </w:rPr>
        <w:t>Total thiol measurement</w:t>
      </w:r>
    </w:p>
    <w:p w14:paraId="6B5EEEEA" w14:textId="602C0D98" w:rsid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281A3C">
        <w:rPr>
          <w:rFonts w:ascii="Times New Roman" w:hAnsi="Times New Roman" w:cs="Times New Roman"/>
          <w:bCs/>
          <w:color w:val="000000" w:themeColor="text1"/>
          <w:sz w:val="24"/>
          <w:szCs w:val="24"/>
        </w:rPr>
        <w:t>The total thiol content was detected and measured by the reaction of sulfhydryl groups with Ellman reagent (DTNB) (Sigma-Aldrich, USA) based on the development of a TNB yellow color. One millilit</w:t>
      </w:r>
      <w:r w:rsidR="009752F6">
        <w:rPr>
          <w:rFonts w:ascii="Times New Roman" w:hAnsi="Times New Roman" w:cs="Times New Roman"/>
          <w:bCs/>
          <w:color w:val="000000" w:themeColor="text1"/>
          <w:sz w:val="24"/>
          <w:szCs w:val="24"/>
        </w:rPr>
        <w:t>re</w:t>
      </w:r>
      <w:r w:rsidRPr="00281A3C">
        <w:rPr>
          <w:rFonts w:ascii="Times New Roman" w:hAnsi="Times New Roman" w:cs="Times New Roman"/>
          <w:bCs/>
          <w:color w:val="000000" w:themeColor="text1"/>
          <w:sz w:val="24"/>
          <w:szCs w:val="24"/>
        </w:rPr>
        <w:t xml:space="preserve"> (ml) of Tris-ethylenediaminetetraacetic acid (EDTA) buffer with pH 8.6 was added to 50 microliters of homogenized tissue and mixed. Then, 20 microliters of 0.01 M Ellman reagent in methanol was added to the mixture, and after 15 minutes of incubation at room temperature, the yellow color formed at a wavelength of 412 nm was read with a spectrophotometer </w:t>
      </w:r>
      <w:r w:rsidRPr="00281A3C">
        <w:rPr>
          <w:rFonts w:ascii="Times New Roman" w:hAnsi="Times New Roman" w:cs="Times New Roman"/>
          <w:bCs/>
          <w:color w:val="000000" w:themeColor="text1"/>
          <w:sz w:val="24"/>
          <w:szCs w:val="24"/>
        </w:rPr>
        <w:fldChar w:fldCharType="begin"/>
      </w:r>
      <w:r w:rsidRPr="00281A3C">
        <w:rPr>
          <w:rFonts w:ascii="Times New Roman" w:hAnsi="Times New Roman" w:cs="Times New Roman"/>
          <w:bCs/>
          <w:color w:val="000000" w:themeColor="text1"/>
          <w:sz w:val="24"/>
          <w:szCs w:val="24"/>
        </w:rPr>
        <w:instrText xml:space="preserve"> ADDIN EN.CITE &lt;EndNote&gt;&lt;Cite&gt;&lt;Author&gt;Hewawasam&lt;/Author&gt;&lt;Year&gt;2015&lt;/Year&gt;&lt;RecNum&gt;13&lt;/RecNum&gt;&lt;DisplayText&gt;(17)&lt;/DisplayText&gt;&lt;record&gt;&lt;rec-number&gt;13&lt;/rec-number&gt;&lt;foreign-keys&gt;&lt;key app="EN" db-id="0xx9ad9t8ft2a4ev0z1p0vatrvsp922datr9" timestamp="1752341781"&gt;13&lt;/key&gt;&lt;/foreign-keys&gt;&lt;ref-type name="Journal Article"&gt;17&lt;/ref-type&gt;&lt;contributors&gt;&lt;authors&gt;&lt;author&gt;Hewawasam, RP&lt;/author&gt;&lt;author&gt;Jayatilaka, KAPW&lt;/author&gt;&lt;/authors&gt;&lt;/contributors&gt;&lt;titles&gt;&lt;title&gt;Antioxidant effect of crude water extract of Vetiveria zizanioides (Gramineae) in mice with acetaminophen induced hepatotoxicity&lt;/title&gt;&lt;secondary-title&gt;International Journal of Pharmacognosy&lt;/secondary-title&gt;&lt;/titles&gt;&lt;periodical&gt;&lt;full-title&gt;International Journal of Pharmacognosy&lt;/full-title&gt;&lt;/periodical&gt;&lt;dates&gt;&lt;year&gt;2015&lt;/year&gt;&lt;/dates&gt;&lt;urls&gt;&lt;/urls&gt;&lt;/record&gt;&lt;/Cite&gt;&lt;/EndNote&gt;</w:instrText>
      </w:r>
      <w:r w:rsidRPr="00281A3C">
        <w:rPr>
          <w:rFonts w:ascii="Times New Roman" w:hAnsi="Times New Roman" w:cs="Times New Roman"/>
          <w:bCs/>
          <w:color w:val="000000" w:themeColor="text1"/>
          <w:sz w:val="24"/>
          <w:szCs w:val="24"/>
        </w:rPr>
        <w:fldChar w:fldCharType="separate"/>
      </w:r>
      <w:r w:rsidRPr="00281A3C">
        <w:rPr>
          <w:rFonts w:ascii="Times New Roman" w:hAnsi="Times New Roman" w:cs="Times New Roman"/>
          <w:bCs/>
          <w:color w:val="000000" w:themeColor="text1"/>
          <w:sz w:val="24"/>
          <w:szCs w:val="24"/>
        </w:rPr>
        <w:t>(17)</w:t>
      </w:r>
      <w:r w:rsidRPr="00281A3C">
        <w:rPr>
          <w:rFonts w:ascii="Times New Roman" w:hAnsi="Times New Roman" w:cs="Times New Roman"/>
          <w:bCs/>
          <w:color w:val="000000" w:themeColor="text1"/>
          <w:sz w:val="24"/>
          <w:szCs w:val="24"/>
        </w:rPr>
        <w:fldChar w:fldCharType="end"/>
      </w:r>
      <w:r w:rsidRPr="00281A3C">
        <w:rPr>
          <w:rFonts w:ascii="Times New Roman" w:hAnsi="Times New Roman" w:cs="Times New Roman"/>
          <w:bCs/>
          <w:color w:val="000000" w:themeColor="text1"/>
          <w:sz w:val="24"/>
          <w:szCs w:val="24"/>
        </w:rPr>
        <w:t>.</w:t>
      </w:r>
    </w:p>
    <w:p w14:paraId="58D4CA3D"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3400645F"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281A3C">
        <w:rPr>
          <w:rFonts w:ascii="Times New Roman" w:hAnsi="Times New Roman" w:cs="Times New Roman"/>
          <w:b/>
          <w:bCs/>
          <w:i/>
          <w:iCs/>
          <w:color w:val="000000" w:themeColor="text1"/>
          <w:sz w:val="24"/>
          <w:szCs w:val="24"/>
        </w:rPr>
        <w:t>MDA</w:t>
      </w:r>
    </w:p>
    <w:p w14:paraId="0E175094" w14:textId="501C13BE" w:rsid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281A3C">
        <w:rPr>
          <w:rFonts w:ascii="Times New Roman" w:hAnsi="Times New Roman" w:cs="Times New Roman"/>
          <w:bCs/>
          <w:color w:val="000000" w:themeColor="text1"/>
          <w:sz w:val="24"/>
          <w:szCs w:val="24"/>
        </w:rPr>
        <w:t xml:space="preserve">Lipid peroxidation of thyroid tissue was assessed by measuring the level of </w:t>
      </w:r>
      <w:r w:rsidRPr="00281A3C">
        <w:rPr>
          <w:rFonts w:ascii="Times New Roman" w:hAnsi="Times New Roman" w:cs="Times New Roman"/>
          <w:bCs/>
          <w:color w:val="000000" w:themeColor="text1"/>
          <w:sz w:val="24"/>
          <w:szCs w:val="24"/>
        </w:rPr>
        <w:t xml:space="preserve">thiobarbituric acid reactive substances (TBARS). These substances, including MDA, react with thiobarbituric acid (TBA) (Merck, Germany) to form a pink-colored complex with a maximum absorption at 532 nm. The procedure is as follows: 3 ml of 1% phosphoric acid and 1 ml of 0.6% TBA were added to 0.5 ml of homogenized tissue, and the mixture was heated at boiling temperature for 45 minutes. After cooling, 4 ml of n-butanol was added and centrifuged at 20,000 rpm for 20 minutes. The organic layer was separated, and its optical absorption was measured at a wavelength of 532 nm </w:t>
      </w:r>
      <w:r w:rsidRPr="00281A3C">
        <w:rPr>
          <w:rFonts w:ascii="Times New Roman" w:hAnsi="Times New Roman" w:cs="Times New Roman"/>
          <w:bCs/>
          <w:color w:val="000000" w:themeColor="text1"/>
          <w:sz w:val="24"/>
          <w:szCs w:val="24"/>
        </w:rPr>
        <w:fldChar w:fldCharType="begin"/>
      </w:r>
      <w:r w:rsidRPr="00281A3C">
        <w:rPr>
          <w:rFonts w:ascii="Times New Roman" w:hAnsi="Times New Roman" w:cs="Times New Roman"/>
          <w:bCs/>
          <w:color w:val="000000" w:themeColor="text1"/>
          <w:sz w:val="24"/>
          <w:szCs w:val="24"/>
        </w:rPr>
        <w:instrText xml:space="preserve"> ADDIN EN.CITE &lt;EndNote&gt;&lt;Cite&gt;&lt;Author&gt;Amarowicz&lt;/Author&gt;&lt;Year&gt;2010&lt;/Year&gt;&lt;RecNum&gt;14&lt;/RecNum&gt;&lt;DisplayText&gt;(18)&lt;/DisplayText&gt;&lt;record&gt;&lt;rec-number&gt;14&lt;/rec-number&gt;&lt;foreign-keys&gt;&lt;key app="EN" db-id="0xx9ad9t8ft2a4ev0z1p0vatrvsp922datr9" timestamp="1752341804"&gt;14&lt;/key&gt;&lt;/foreign-keys&gt;&lt;ref-type name="Journal Article"&gt;17&lt;/ref-type&gt;&lt;contributors&gt;&lt;authors&gt;&lt;author&gt;Amarowicz, Ryszard&lt;/author&gt;&lt;author&gt;Estrella, Isabel&lt;/author&gt;&lt;author&gt;Hernández, Teresa&lt;/author&gt;&lt;author&gt;Robredo, Sergio&lt;/author&gt;&lt;author&gt;Troszyńska, Agnieszka&lt;/author&gt;&lt;author&gt;Kosińska, Agnieszka&lt;/author&gt;&lt;author&gt;Pegg, Ronald B&lt;/author&gt;&lt;/authors&gt;&lt;/contributors&gt;&lt;titles&gt;&lt;title&gt;Free radical-scavenging capacity, antioxidant activity, and phenolic composition of green lentil (Lens culinaris)&lt;/title&gt;&lt;secondary-title&gt;Food chemistry&lt;/secondary-title&gt;&lt;/titles&gt;&lt;periodical&gt;&lt;full-title&gt;Food chemistry&lt;/full-title&gt;&lt;/periodical&gt;&lt;pages&gt;705-711&lt;/pages&gt;&lt;volume&gt;121&lt;/volume&gt;&lt;number&gt;3&lt;/number&gt;&lt;dates&gt;&lt;year&gt;2010&lt;/year&gt;&lt;/dates&gt;&lt;isbn&gt;0308-8146&lt;/isbn&gt;&lt;urls&gt;&lt;/urls&gt;&lt;/record&gt;&lt;/Cite&gt;&lt;/EndNote&gt;</w:instrText>
      </w:r>
      <w:r w:rsidRPr="00281A3C">
        <w:rPr>
          <w:rFonts w:ascii="Times New Roman" w:hAnsi="Times New Roman" w:cs="Times New Roman"/>
          <w:bCs/>
          <w:color w:val="000000" w:themeColor="text1"/>
          <w:sz w:val="24"/>
          <w:szCs w:val="24"/>
        </w:rPr>
        <w:fldChar w:fldCharType="separate"/>
      </w:r>
      <w:r w:rsidRPr="00281A3C">
        <w:rPr>
          <w:rFonts w:ascii="Times New Roman" w:hAnsi="Times New Roman" w:cs="Times New Roman"/>
          <w:bCs/>
          <w:color w:val="000000" w:themeColor="text1"/>
          <w:sz w:val="24"/>
          <w:szCs w:val="24"/>
        </w:rPr>
        <w:t>(18)</w:t>
      </w:r>
      <w:r w:rsidRPr="00281A3C">
        <w:rPr>
          <w:rFonts w:ascii="Times New Roman" w:hAnsi="Times New Roman" w:cs="Times New Roman"/>
          <w:bCs/>
          <w:color w:val="000000" w:themeColor="text1"/>
          <w:sz w:val="24"/>
          <w:szCs w:val="24"/>
        </w:rPr>
        <w:fldChar w:fldCharType="end"/>
      </w:r>
      <w:r w:rsidRPr="00281A3C">
        <w:rPr>
          <w:rFonts w:ascii="Times New Roman" w:hAnsi="Times New Roman" w:cs="Times New Roman"/>
          <w:bCs/>
          <w:color w:val="000000" w:themeColor="text1"/>
          <w:sz w:val="24"/>
          <w:szCs w:val="24"/>
        </w:rPr>
        <w:t>.</w:t>
      </w:r>
    </w:p>
    <w:p w14:paraId="30B7F177" w14:textId="77777777" w:rsidR="00F2518B" w:rsidRPr="00281A3C" w:rsidRDefault="00F2518B"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2F7AFCDB"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281A3C">
        <w:rPr>
          <w:rFonts w:ascii="Times New Roman" w:hAnsi="Times New Roman" w:cs="Times New Roman"/>
          <w:b/>
          <w:bCs/>
          <w:i/>
          <w:iCs/>
          <w:color w:val="000000" w:themeColor="text1"/>
          <w:sz w:val="24"/>
          <w:szCs w:val="24"/>
        </w:rPr>
        <w:t>TSH, T4, T3</w:t>
      </w:r>
    </w:p>
    <w:p w14:paraId="1C433527" w14:textId="1BB7219F" w:rsid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281A3C">
        <w:rPr>
          <w:rFonts w:ascii="Times New Roman" w:hAnsi="Times New Roman" w:cs="Times New Roman"/>
          <w:bCs/>
          <w:color w:val="000000" w:themeColor="text1"/>
          <w:sz w:val="24"/>
          <w:szCs w:val="24"/>
        </w:rPr>
        <w:t>T3, T4, and TSH concentrations were assessed using a commercial reagent kit (Ez-Test, Australia).</w:t>
      </w:r>
    </w:p>
    <w:p w14:paraId="5B919DDD" w14:textId="77777777" w:rsidR="00F2518B" w:rsidRPr="00281A3C" w:rsidRDefault="00F2518B"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595AD99B" w14:textId="77777777" w:rsidR="00281A3C" w:rsidRPr="00281A3C" w:rsidRDefault="00281A3C" w:rsidP="00281A3C">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281A3C">
        <w:rPr>
          <w:rFonts w:ascii="Times New Roman" w:hAnsi="Times New Roman" w:cs="Times New Roman"/>
          <w:b/>
          <w:bCs/>
          <w:i/>
          <w:iCs/>
          <w:color w:val="000000" w:themeColor="text1"/>
          <w:sz w:val="24"/>
          <w:szCs w:val="24"/>
        </w:rPr>
        <w:t>Statistical analysis</w:t>
      </w:r>
    </w:p>
    <w:p w14:paraId="0D5AF13E" w14:textId="7C61FD99" w:rsidR="00281A3C" w:rsidRDefault="00281A3C"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281A3C">
        <w:rPr>
          <w:rFonts w:ascii="Times New Roman" w:hAnsi="Times New Roman" w:cs="Times New Roman"/>
          <w:bCs/>
          <w:color w:val="000000" w:themeColor="text1"/>
          <w:sz w:val="24"/>
          <w:szCs w:val="24"/>
        </w:rPr>
        <w:t>Statistical analysis was evaluated using GraphPad Prism 9.0.0 software, applying One-way ANOVA followed by Tukey's post-test. Statistically significant difference between different groups is indicated by *, **, ***, and **** with significance levels, P&lt;0.01, P&lt; 0.05, P&lt; 0.001, P&lt; 0.0001, respectively. </w:t>
      </w:r>
    </w:p>
    <w:p w14:paraId="564AE060" w14:textId="77777777" w:rsidR="00F2518B" w:rsidRPr="00281A3C" w:rsidRDefault="00F2518B" w:rsidP="00281A3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351AEB53" w14:textId="77777777" w:rsidR="00BD7E46" w:rsidRPr="002415F4" w:rsidRDefault="00BD7E46" w:rsidP="00BD7E46">
      <w:pPr>
        <w:tabs>
          <w:tab w:val="left" w:pos="284"/>
        </w:tabs>
        <w:spacing w:before="240" w:after="0" w:line="240" w:lineRule="auto"/>
        <w:contextualSpacing/>
        <w:jc w:val="both"/>
        <w:outlineLvl w:val="0"/>
        <w:rPr>
          <w:rFonts w:ascii="Times New Roman" w:hAnsi="Times New Roman" w:cs="Times New Roman"/>
          <w:b/>
          <w:color w:val="000000" w:themeColor="text1"/>
          <w:sz w:val="28"/>
          <w:szCs w:val="28"/>
        </w:rPr>
      </w:pPr>
      <w:r w:rsidRPr="002415F4">
        <w:rPr>
          <w:rFonts w:ascii="Times New Roman" w:hAnsi="Times New Roman" w:cs="Times New Roman"/>
          <w:b/>
          <w:color w:val="000000" w:themeColor="text1"/>
          <w:sz w:val="28"/>
          <w:szCs w:val="28"/>
        </w:rPr>
        <w:t>Results</w:t>
      </w:r>
    </w:p>
    <w:p w14:paraId="75C0B47A" w14:textId="115189B4" w:rsidR="00F2518B" w:rsidRPr="00F2518B" w:rsidRDefault="00F2518B" w:rsidP="00F2518B">
      <w:pPr>
        <w:tabs>
          <w:tab w:val="left" w:pos="284"/>
        </w:tabs>
        <w:spacing w:before="240" w:after="0" w:line="240" w:lineRule="auto"/>
        <w:contextualSpacing/>
        <w:jc w:val="both"/>
        <w:outlineLvl w:val="0"/>
        <w:rPr>
          <w:rFonts w:ascii="Times New Roman" w:hAnsi="Times New Roman" w:cs="Times New Roman"/>
          <w:b/>
          <w:bCs/>
          <w:i/>
          <w:iCs/>
          <w:color w:val="000000" w:themeColor="text1"/>
          <w:spacing w:val="2"/>
          <w:sz w:val="24"/>
          <w:szCs w:val="24"/>
        </w:rPr>
      </w:pPr>
      <w:r w:rsidRPr="00F2518B">
        <w:rPr>
          <w:rFonts w:ascii="Times New Roman" w:hAnsi="Times New Roman" w:cs="Times New Roman"/>
          <w:b/>
          <w:bCs/>
          <w:i/>
          <w:iCs/>
          <w:color w:val="000000" w:themeColor="text1"/>
          <w:spacing w:val="2"/>
          <w:sz w:val="24"/>
          <w:szCs w:val="24"/>
        </w:rPr>
        <w:t xml:space="preserve">Antioxidant enzyme activities (CAT and </w:t>
      </w:r>
      <w:r w:rsidR="009752F6" w:rsidRPr="00F2518B">
        <w:rPr>
          <w:rFonts w:ascii="Times New Roman" w:hAnsi="Times New Roman" w:cs="Times New Roman"/>
          <w:b/>
          <w:bCs/>
          <w:i/>
          <w:iCs/>
          <w:color w:val="000000" w:themeColor="text1"/>
          <w:spacing w:val="2"/>
          <w:sz w:val="24"/>
          <w:szCs w:val="24"/>
        </w:rPr>
        <w:t>SOD)</w:t>
      </w:r>
      <w:r w:rsidRPr="00F2518B">
        <w:rPr>
          <w:rFonts w:ascii="Times New Roman" w:hAnsi="Times New Roman" w:cs="Times New Roman"/>
          <w:b/>
          <w:bCs/>
          <w:i/>
          <w:iCs/>
          <w:color w:val="000000" w:themeColor="text1"/>
          <w:spacing w:val="2"/>
          <w:sz w:val="24"/>
          <w:szCs w:val="24"/>
        </w:rPr>
        <w:t xml:space="preserve"> levels</w:t>
      </w:r>
    </w:p>
    <w:p w14:paraId="37ECF8CC" w14:textId="77777777" w:rsidR="008F2363" w:rsidRDefault="00F2518B" w:rsidP="00F2518B">
      <w:pPr>
        <w:tabs>
          <w:tab w:val="left" w:pos="284"/>
        </w:tabs>
        <w:spacing w:before="240" w:after="0" w:line="240" w:lineRule="auto"/>
        <w:contextualSpacing/>
        <w:jc w:val="both"/>
        <w:outlineLvl w:val="0"/>
        <w:rPr>
          <w:rFonts w:ascii="Times New Roman" w:hAnsi="Times New Roman" w:cs="Times New Roman"/>
          <w:bCs/>
          <w:color w:val="000000" w:themeColor="text1"/>
          <w:spacing w:val="-4"/>
          <w:sz w:val="24"/>
          <w:szCs w:val="24"/>
        </w:rPr>
      </w:pPr>
      <w:r w:rsidRPr="00F2518B">
        <w:rPr>
          <w:rFonts w:ascii="Times New Roman" w:hAnsi="Times New Roman" w:cs="Times New Roman"/>
          <w:bCs/>
          <w:color w:val="000000" w:themeColor="text1"/>
          <w:spacing w:val="-4"/>
          <w:sz w:val="24"/>
          <w:szCs w:val="24"/>
        </w:rPr>
        <w:t xml:space="preserve">Antioxidant enzyme activities (CAT and </w:t>
      </w:r>
      <w:r w:rsidR="009752F6" w:rsidRPr="00F2518B">
        <w:rPr>
          <w:rFonts w:ascii="Times New Roman" w:hAnsi="Times New Roman" w:cs="Times New Roman"/>
          <w:bCs/>
          <w:color w:val="000000" w:themeColor="text1"/>
          <w:spacing w:val="-4"/>
          <w:sz w:val="24"/>
          <w:szCs w:val="24"/>
        </w:rPr>
        <w:t>SOD)</w:t>
      </w:r>
      <w:r w:rsidRPr="00F2518B">
        <w:rPr>
          <w:rFonts w:ascii="Times New Roman" w:hAnsi="Times New Roman" w:cs="Times New Roman"/>
          <w:bCs/>
          <w:color w:val="000000" w:themeColor="text1"/>
          <w:spacing w:val="-4"/>
          <w:sz w:val="24"/>
          <w:szCs w:val="24"/>
        </w:rPr>
        <w:t xml:space="preserve"> evaluation demonstrates that there is no </w:t>
      </w:r>
    </w:p>
    <w:p w14:paraId="4DBB2D13" w14:textId="77777777" w:rsidR="008F2363" w:rsidRDefault="008F2363" w:rsidP="00F2518B">
      <w:pPr>
        <w:tabs>
          <w:tab w:val="left" w:pos="284"/>
        </w:tabs>
        <w:spacing w:before="240" w:after="0" w:line="240" w:lineRule="auto"/>
        <w:contextualSpacing/>
        <w:jc w:val="both"/>
        <w:outlineLvl w:val="0"/>
        <w:rPr>
          <w:rFonts w:ascii="Times New Roman" w:hAnsi="Times New Roman" w:cs="Times New Roman"/>
          <w:bCs/>
          <w:color w:val="000000" w:themeColor="text1"/>
          <w:spacing w:val="-4"/>
          <w:sz w:val="24"/>
          <w:szCs w:val="24"/>
        </w:rPr>
      </w:pPr>
    </w:p>
    <w:p w14:paraId="0DAC5E64" w14:textId="77777777" w:rsidR="008F2363" w:rsidRDefault="00F2518B" w:rsidP="00F2518B">
      <w:pPr>
        <w:tabs>
          <w:tab w:val="left" w:pos="284"/>
        </w:tabs>
        <w:spacing w:before="240" w:after="0" w:line="240" w:lineRule="auto"/>
        <w:contextualSpacing/>
        <w:jc w:val="both"/>
        <w:outlineLvl w:val="0"/>
        <w:rPr>
          <w:rFonts w:ascii="Times New Roman" w:hAnsi="Times New Roman" w:cs="Times New Roman"/>
          <w:bCs/>
          <w:color w:val="000000" w:themeColor="text1"/>
          <w:spacing w:val="-4"/>
          <w:sz w:val="24"/>
          <w:szCs w:val="24"/>
        </w:rPr>
      </w:pPr>
      <w:r w:rsidRPr="00F2518B">
        <w:rPr>
          <w:rFonts w:ascii="Times New Roman" w:hAnsi="Times New Roman" w:cs="Times New Roman"/>
          <w:bCs/>
          <w:color w:val="000000" w:themeColor="text1"/>
          <w:spacing w:val="-4"/>
          <w:sz w:val="24"/>
          <w:szCs w:val="24"/>
        </w:rPr>
        <w:t>statistically significant difference in CAT and SOD activity between the control group and the Lina-only group (Figs. 1 &amp; 2). Conversely, exposure to MNZ significantly decreased CAT and SOD activity compared to the control group (</w:t>
      </w:r>
      <w:r w:rsidR="009752F6">
        <w:rPr>
          <w:rFonts w:ascii="Times New Roman" w:hAnsi="Times New Roman" w:cs="Times New Roman"/>
          <w:bCs/>
          <w:color w:val="000000" w:themeColor="text1"/>
          <w:spacing w:val="-4"/>
          <w:sz w:val="24"/>
          <w:szCs w:val="24"/>
        </w:rPr>
        <w:t>p&lt;</w:t>
      </w:r>
      <w:r w:rsidRPr="00F2518B">
        <w:rPr>
          <w:rFonts w:ascii="Times New Roman" w:hAnsi="Times New Roman" w:cs="Times New Roman"/>
          <w:bCs/>
          <w:color w:val="000000" w:themeColor="text1"/>
          <w:spacing w:val="-4"/>
          <w:sz w:val="24"/>
          <w:szCs w:val="24"/>
        </w:rPr>
        <w:t xml:space="preserve"> 0.01). Additionally, the group receiving both MNZ and the higher dose of Lina (20 mg/kg) </w:t>
      </w:r>
      <w:r w:rsidR="008F2363">
        <w:rPr>
          <w:rFonts w:ascii="Times New Roman" w:hAnsi="Times New Roman" w:cs="Times New Roman"/>
          <w:bCs/>
          <w:color w:val="000000" w:themeColor="text1"/>
          <w:spacing w:val="-4"/>
          <w:sz w:val="24"/>
          <w:szCs w:val="24"/>
        </w:rPr>
        <w:br w:type="column"/>
      </w:r>
    </w:p>
    <w:p w14:paraId="7CD8A88C" w14:textId="20BCFFC1" w:rsidR="00F2518B" w:rsidRPr="00F2518B" w:rsidRDefault="00F2518B" w:rsidP="00F2518B">
      <w:pPr>
        <w:tabs>
          <w:tab w:val="left" w:pos="284"/>
        </w:tabs>
        <w:spacing w:before="240" w:after="0" w:line="240" w:lineRule="auto"/>
        <w:contextualSpacing/>
        <w:jc w:val="both"/>
        <w:outlineLvl w:val="0"/>
        <w:rPr>
          <w:rFonts w:ascii="Times New Roman" w:hAnsi="Times New Roman" w:cs="Times New Roman"/>
          <w:bCs/>
          <w:color w:val="000000" w:themeColor="text1"/>
          <w:spacing w:val="-4"/>
          <w:sz w:val="24"/>
          <w:szCs w:val="24"/>
        </w:rPr>
      </w:pPr>
      <w:r w:rsidRPr="00F2518B">
        <w:rPr>
          <w:rFonts w:ascii="Times New Roman" w:hAnsi="Times New Roman" w:cs="Times New Roman"/>
          <w:bCs/>
          <w:color w:val="000000" w:themeColor="text1"/>
          <w:spacing w:val="-4"/>
          <w:sz w:val="24"/>
          <w:szCs w:val="24"/>
        </w:rPr>
        <w:t>showed a significant increase in CAT and SOD activity relative to the MNZ-only group (</w:t>
      </w:r>
      <w:r w:rsidR="009752F6">
        <w:rPr>
          <w:rFonts w:ascii="Times New Roman" w:hAnsi="Times New Roman" w:cs="Times New Roman"/>
          <w:bCs/>
          <w:color w:val="000000" w:themeColor="text1"/>
          <w:spacing w:val="-4"/>
          <w:sz w:val="24"/>
          <w:szCs w:val="24"/>
        </w:rPr>
        <w:t>p&lt;</w:t>
      </w:r>
      <w:r w:rsidRPr="00F2518B">
        <w:rPr>
          <w:rFonts w:ascii="Times New Roman" w:hAnsi="Times New Roman" w:cs="Times New Roman"/>
          <w:bCs/>
          <w:color w:val="000000" w:themeColor="text1"/>
          <w:spacing w:val="-4"/>
          <w:sz w:val="24"/>
          <w:szCs w:val="24"/>
        </w:rPr>
        <w:t xml:space="preserve"> 0.05 and </w:t>
      </w:r>
      <w:r w:rsidR="009752F6">
        <w:rPr>
          <w:rFonts w:ascii="Times New Roman" w:hAnsi="Times New Roman" w:cs="Times New Roman"/>
          <w:bCs/>
          <w:color w:val="000000" w:themeColor="text1"/>
          <w:spacing w:val="-4"/>
          <w:sz w:val="24"/>
          <w:szCs w:val="24"/>
        </w:rPr>
        <w:t>p&lt;</w:t>
      </w:r>
      <w:r w:rsidRPr="00F2518B">
        <w:rPr>
          <w:rFonts w:ascii="Times New Roman" w:hAnsi="Times New Roman" w:cs="Times New Roman"/>
          <w:bCs/>
          <w:color w:val="000000" w:themeColor="text1"/>
          <w:spacing w:val="-4"/>
          <w:sz w:val="24"/>
          <w:szCs w:val="24"/>
        </w:rPr>
        <w:t xml:space="preserve"> 0.01, respectively).</w:t>
      </w:r>
    </w:p>
    <w:p w14:paraId="3A03EE8B" w14:textId="57D2F779" w:rsidR="008F2363" w:rsidRDefault="00F2518B" w:rsidP="008F2363">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pPr>
      <w:r w:rsidRPr="00F2518B">
        <w:rPr>
          <w:rFonts w:ascii="Times New Roman" w:hAnsi="Times New Roman" w:cs="Times New Roman"/>
          <w:bCs/>
          <w:color w:val="000000" w:themeColor="text1"/>
          <w:spacing w:val="-4"/>
          <w:sz w:val="24"/>
          <w:szCs w:val="24"/>
        </w:rPr>
        <w:t>No significant differences were observed between the MNZ group and the groups receiving combined treatments with MNZ plus Lina at doses of 0.5 mg/kg and 10 mg/kg</w:t>
      </w:r>
      <w:r w:rsidRPr="00F2518B">
        <w:rPr>
          <w:rFonts w:ascii="Times New Roman" w:hAnsi="Times New Roman" w:cs="Times New Roman"/>
          <w:bCs/>
          <w:color w:val="000000" w:themeColor="text1"/>
          <w:spacing w:val="2"/>
          <w:sz w:val="24"/>
          <w:szCs w:val="24"/>
        </w:rPr>
        <w:t>.</w:t>
      </w:r>
    </w:p>
    <w:p w14:paraId="7B718EDC" w14:textId="77777777" w:rsidR="008F2363" w:rsidRDefault="008F2363" w:rsidP="00F2518B">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pPr>
    </w:p>
    <w:p w14:paraId="1D7F56E3" w14:textId="77777777" w:rsidR="008F2363" w:rsidRDefault="008F2363" w:rsidP="00F2518B">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sectPr w:rsidR="008F2363" w:rsidSect="004A75E8">
          <w:type w:val="continuous"/>
          <w:pgSz w:w="11907" w:h="16840" w:code="9"/>
          <w:pgMar w:top="1588" w:right="1134" w:bottom="1588" w:left="1134" w:header="680" w:footer="680" w:gutter="0"/>
          <w:cols w:num="2" w:space="720"/>
          <w:titlePg/>
          <w:docGrid w:linePitch="360"/>
        </w:sectPr>
      </w:pPr>
    </w:p>
    <w:p w14:paraId="13E6A0B2" w14:textId="5C44C419" w:rsidR="008F2363" w:rsidRPr="00F2518B" w:rsidRDefault="008F2363" w:rsidP="00F2518B">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sectPr w:rsidR="008F2363" w:rsidRPr="00F2518B" w:rsidSect="008F2363">
          <w:type w:val="continuous"/>
          <w:pgSz w:w="11907" w:h="16840" w:code="9"/>
          <w:pgMar w:top="1588" w:right="1134" w:bottom="1588" w:left="1134" w:header="680" w:footer="680" w:gutter="0"/>
          <w:cols w:num="2" w:space="720"/>
          <w:titlePg/>
          <w:docGrid w:linePitch="360"/>
        </w:sectPr>
      </w:pPr>
    </w:p>
    <w:p w14:paraId="36FFD063" w14:textId="1C7D8954" w:rsidR="00F2518B" w:rsidRDefault="00F2518B" w:rsidP="00F2518B">
      <w:pPr>
        <w:tabs>
          <w:tab w:val="left" w:pos="284"/>
        </w:tabs>
        <w:spacing w:after="0" w:line="240" w:lineRule="auto"/>
        <w:contextualSpacing/>
        <w:jc w:val="center"/>
        <w:outlineLvl w:val="0"/>
        <w:rPr>
          <w:rFonts w:ascii="Times New Roman" w:hAnsi="Times New Roman" w:cs="Times New Roman"/>
          <w:bCs/>
          <w:color w:val="000000" w:themeColor="text1"/>
        </w:rPr>
      </w:pPr>
      <w:r w:rsidRPr="00B90ECC">
        <w:rPr>
          <w:noProof/>
        </w:rPr>
        <w:drawing>
          <wp:inline distT="0" distB="0" distL="0" distR="0" wp14:anchorId="170A2BB1" wp14:editId="1200AEE8">
            <wp:extent cx="2991481" cy="2918401"/>
            <wp:effectExtent l="0" t="0" r="6350" b="3175"/>
            <wp:docPr id="9625168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30" b="6696"/>
                    <a:stretch/>
                  </pic:blipFill>
                  <pic:spPr bwMode="auto">
                    <a:xfrm>
                      <a:off x="0" y="0"/>
                      <a:ext cx="3085940" cy="3010552"/>
                    </a:xfrm>
                    <a:prstGeom prst="rect">
                      <a:avLst/>
                    </a:prstGeom>
                    <a:noFill/>
                    <a:ln>
                      <a:noFill/>
                    </a:ln>
                    <a:extLst>
                      <a:ext uri="{53640926-AAD7-44D8-BBD7-CCE9431645EC}">
                        <a14:shadowObscured xmlns:a14="http://schemas.microsoft.com/office/drawing/2010/main"/>
                      </a:ext>
                    </a:extLst>
                  </pic:spPr>
                </pic:pic>
              </a:graphicData>
            </a:graphic>
          </wp:inline>
        </w:drawing>
      </w:r>
    </w:p>
    <w:p w14:paraId="6B2F9CE2" w14:textId="77777777" w:rsidR="00F2518B" w:rsidRPr="00B90ECC" w:rsidRDefault="00F2518B" w:rsidP="00F2518B">
      <w:pPr>
        <w:jc w:val="both"/>
        <w:rPr>
          <w:rFonts w:asciiTheme="majorBidi" w:hAnsiTheme="majorBidi" w:cstheme="majorBidi"/>
        </w:rPr>
      </w:pPr>
      <w:r w:rsidRPr="00F2518B">
        <w:rPr>
          <w:rFonts w:asciiTheme="majorBidi" w:hAnsiTheme="majorBidi" w:cstheme="majorBidi"/>
          <w:b/>
          <w:bCs/>
        </w:rPr>
        <w:t>Fig. 1.</w:t>
      </w:r>
      <w:r>
        <w:rPr>
          <w:rFonts w:asciiTheme="majorBidi" w:hAnsiTheme="majorBidi" w:cstheme="majorBidi"/>
        </w:rPr>
        <w:t xml:space="preserve"> </w:t>
      </w:r>
      <w:r w:rsidRPr="00B90ECC">
        <w:rPr>
          <w:rFonts w:asciiTheme="majorBidi" w:hAnsiTheme="majorBidi" w:cstheme="majorBidi"/>
        </w:rPr>
        <w:t>Effects of Linagliptin on the catalase (CAT) activity in rat serum. Values are means ± SD. Using one-way ANOVA followed by Tukey post-hoc test, (n = 9). *p&lt;0.05 and **p&lt;0.01. MNZ: Mancozeb; Lina: Linagliptin</w:t>
      </w:r>
    </w:p>
    <w:p w14:paraId="1CA27B78" w14:textId="77777777" w:rsidR="00F2518B" w:rsidRPr="00B90ECC" w:rsidRDefault="00F2518B" w:rsidP="00F2518B">
      <w:pPr>
        <w:spacing w:after="0"/>
        <w:jc w:val="center"/>
        <w:rPr>
          <w:rFonts w:asciiTheme="majorBidi" w:hAnsiTheme="majorBidi" w:cstheme="majorBidi"/>
        </w:rPr>
      </w:pPr>
      <w:r w:rsidRPr="00B90ECC">
        <w:rPr>
          <w:noProof/>
        </w:rPr>
        <w:drawing>
          <wp:inline distT="0" distB="0" distL="0" distR="0" wp14:anchorId="3D4DB3A3" wp14:editId="63144AD0">
            <wp:extent cx="2949091" cy="2902901"/>
            <wp:effectExtent l="0" t="0" r="0" b="5715"/>
            <wp:docPr id="15534104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23" b="3190"/>
                    <a:stretch/>
                  </pic:blipFill>
                  <pic:spPr bwMode="auto">
                    <a:xfrm>
                      <a:off x="0" y="0"/>
                      <a:ext cx="3019433" cy="2972142"/>
                    </a:xfrm>
                    <a:prstGeom prst="rect">
                      <a:avLst/>
                    </a:prstGeom>
                    <a:noFill/>
                    <a:ln>
                      <a:noFill/>
                    </a:ln>
                    <a:extLst>
                      <a:ext uri="{53640926-AAD7-44D8-BBD7-CCE9431645EC}">
                        <a14:shadowObscured xmlns:a14="http://schemas.microsoft.com/office/drawing/2010/main"/>
                      </a:ext>
                    </a:extLst>
                  </pic:spPr>
                </pic:pic>
              </a:graphicData>
            </a:graphic>
          </wp:inline>
        </w:drawing>
      </w:r>
    </w:p>
    <w:p w14:paraId="4E828B6D" w14:textId="77777777" w:rsidR="008F2363" w:rsidRDefault="00F2518B" w:rsidP="00F2518B">
      <w:pPr>
        <w:jc w:val="both"/>
        <w:rPr>
          <w:rFonts w:asciiTheme="majorBidi" w:hAnsiTheme="majorBidi" w:cstheme="majorBidi"/>
        </w:rPr>
        <w:sectPr w:rsidR="008F2363" w:rsidSect="008F2363">
          <w:type w:val="continuous"/>
          <w:pgSz w:w="11907" w:h="16840" w:code="9"/>
          <w:pgMar w:top="1588" w:right="1134" w:bottom="1588" w:left="1134" w:header="680" w:footer="680" w:gutter="0"/>
          <w:cols w:num="2" w:space="720"/>
          <w:titlePg/>
          <w:docGrid w:linePitch="360"/>
        </w:sectPr>
      </w:pPr>
      <w:r w:rsidRPr="00F2518B">
        <w:rPr>
          <w:rFonts w:asciiTheme="majorBidi" w:hAnsiTheme="majorBidi" w:cstheme="majorBidi"/>
          <w:b/>
          <w:bCs/>
        </w:rPr>
        <w:t>Fig. 2.</w:t>
      </w:r>
      <w:r>
        <w:rPr>
          <w:rFonts w:asciiTheme="majorBidi" w:hAnsiTheme="majorBidi" w:cstheme="majorBidi"/>
        </w:rPr>
        <w:t xml:space="preserve"> </w:t>
      </w:r>
      <w:r w:rsidRPr="00B90ECC">
        <w:rPr>
          <w:rFonts w:asciiTheme="majorBidi" w:hAnsiTheme="majorBidi" w:cstheme="majorBidi"/>
        </w:rPr>
        <w:t>Effects of Linagliptin on the superoxide dismutase (SOD) activity in rat serum. Values are means ± SD. Using one-way ANOVA followed by Tukey post-hoc test, (n = 9). **p&lt;0.01. MNZ: Mancozeb; Lina: Linagliptin.</w:t>
      </w:r>
    </w:p>
    <w:p w14:paraId="6CE22894" w14:textId="627ECD6C" w:rsidR="00434FCB" w:rsidRPr="00434FCB" w:rsidRDefault="00434FCB" w:rsidP="00434FCB">
      <w:pPr>
        <w:tabs>
          <w:tab w:val="left" w:pos="284"/>
        </w:tabs>
        <w:spacing w:before="240" w:after="0" w:line="240" w:lineRule="auto"/>
        <w:contextualSpacing/>
        <w:jc w:val="both"/>
        <w:outlineLvl w:val="0"/>
        <w:rPr>
          <w:rFonts w:ascii="Times New Roman" w:hAnsi="Times New Roman" w:cs="Times New Roman"/>
          <w:bCs/>
          <w:color w:val="000000" w:themeColor="text1"/>
          <w:sz w:val="14"/>
          <w:szCs w:val="14"/>
        </w:rPr>
      </w:pPr>
    </w:p>
    <w:p w14:paraId="18EFC76B" w14:textId="77777777" w:rsidR="006409EC" w:rsidRDefault="006409EC" w:rsidP="00434FCB">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sectPr w:rsidR="006409EC" w:rsidSect="006409EC">
          <w:type w:val="continuous"/>
          <w:pgSz w:w="11907" w:h="16840" w:code="9"/>
          <w:pgMar w:top="1588" w:right="1134" w:bottom="1588" w:left="1134" w:header="680" w:footer="680" w:gutter="0"/>
          <w:cols w:space="720"/>
          <w:titlePg/>
          <w:docGrid w:linePitch="360"/>
        </w:sectPr>
      </w:pPr>
    </w:p>
    <w:p w14:paraId="34E581D0" w14:textId="77777777" w:rsidR="008F2363" w:rsidRDefault="008F2363" w:rsidP="00F2518B">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rPr>
      </w:pPr>
    </w:p>
    <w:p w14:paraId="2E5862A8" w14:textId="389E8873" w:rsidR="00F2518B" w:rsidRPr="00CB0221" w:rsidRDefault="00F2518B" w:rsidP="00F2518B">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CB0221">
        <w:rPr>
          <w:rFonts w:ascii="Times New Roman" w:hAnsi="Times New Roman" w:cs="Times New Roman"/>
          <w:b/>
          <w:bCs/>
          <w:i/>
          <w:iCs/>
          <w:color w:val="000000" w:themeColor="text1"/>
          <w:sz w:val="24"/>
          <w:szCs w:val="24"/>
        </w:rPr>
        <w:t>Total Thiol Content</w:t>
      </w:r>
    </w:p>
    <w:p w14:paraId="000D3D58" w14:textId="454D1153" w:rsidR="008F2363" w:rsidRDefault="00F2518B" w:rsidP="008F2363">
      <w:pPr>
        <w:tabs>
          <w:tab w:val="left" w:pos="284"/>
        </w:tabs>
        <w:spacing w:before="240" w:after="0" w:line="240" w:lineRule="auto"/>
        <w:contextualSpacing/>
        <w:jc w:val="both"/>
        <w:outlineLvl w:val="0"/>
        <w:rPr>
          <w:rFonts w:ascii="Times New Roman" w:hAnsi="Times New Roman" w:cs="Times New Roman"/>
          <w:b/>
          <w:bCs/>
          <w:color w:val="000000" w:themeColor="text1"/>
          <w:sz w:val="24"/>
          <w:szCs w:val="24"/>
        </w:rPr>
      </w:pPr>
      <w:r w:rsidRPr="00F2518B">
        <w:rPr>
          <w:rFonts w:ascii="Times New Roman" w:hAnsi="Times New Roman" w:cs="Times New Roman"/>
          <w:bCs/>
          <w:color w:val="000000" w:themeColor="text1"/>
          <w:sz w:val="24"/>
          <w:szCs w:val="24"/>
        </w:rPr>
        <w:t>The data demonstrate a highly significant reduction in total thiol content in the MNZ-exposed group compared to the control group (</w:t>
      </w:r>
      <w:r w:rsidR="009752F6">
        <w:rPr>
          <w:rFonts w:ascii="Times New Roman" w:hAnsi="Times New Roman" w:cs="Times New Roman"/>
          <w:bCs/>
          <w:color w:val="000000" w:themeColor="text1"/>
          <w:sz w:val="24"/>
          <w:szCs w:val="24"/>
        </w:rPr>
        <w:t>p&lt;</w:t>
      </w:r>
      <w:r w:rsidRPr="00F2518B">
        <w:rPr>
          <w:rFonts w:ascii="Times New Roman" w:hAnsi="Times New Roman" w:cs="Times New Roman"/>
          <w:bCs/>
          <w:color w:val="000000" w:themeColor="text1"/>
          <w:sz w:val="24"/>
          <w:szCs w:val="24"/>
        </w:rPr>
        <w:t xml:space="preserve"> 0.0001). Furthermore, groups receiving MNZ in combination with Lina at doses of 10 mg/kg and 20 mg/kg showed significantly higher total thiol levels than the MNZ-only group (</w:t>
      </w:r>
      <w:r w:rsidR="009752F6">
        <w:rPr>
          <w:rFonts w:ascii="Times New Roman" w:hAnsi="Times New Roman" w:cs="Times New Roman"/>
          <w:bCs/>
          <w:color w:val="000000" w:themeColor="text1"/>
          <w:sz w:val="24"/>
          <w:szCs w:val="24"/>
        </w:rPr>
        <w:t>p&lt;</w:t>
      </w:r>
      <w:r w:rsidRPr="00F2518B">
        <w:rPr>
          <w:rFonts w:ascii="Times New Roman" w:hAnsi="Times New Roman" w:cs="Times New Roman"/>
          <w:bCs/>
          <w:color w:val="000000" w:themeColor="text1"/>
          <w:sz w:val="24"/>
          <w:szCs w:val="24"/>
        </w:rPr>
        <w:t xml:space="preserve"> 0.05 and </w:t>
      </w:r>
      <w:r w:rsidR="009752F6">
        <w:rPr>
          <w:rFonts w:ascii="Times New Roman" w:hAnsi="Times New Roman" w:cs="Times New Roman"/>
          <w:bCs/>
          <w:color w:val="000000" w:themeColor="text1"/>
          <w:sz w:val="24"/>
          <w:szCs w:val="24"/>
        </w:rPr>
        <w:t>p&lt;</w:t>
      </w:r>
      <w:r w:rsidRPr="00F2518B">
        <w:rPr>
          <w:rFonts w:ascii="Times New Roman" w:hAnsi="Times New Roman" w:cs="Times New Roman"/>
          <w:bCs/>
          <w:color w:val="000000" w:themeColor="text1"/>
          <w:sz w:val="24"/>
          <w:szCs w:val="24"/>
        </w:rPr>
        <w:t xml:space="preserve"> 0.01, respectively). No significant differences were observed between the control group and the group receiving Lina alone, nor between the MNZ group and the group treated with MNZ combined with 0.5 mg/kg of Lina (Fig. 3).</w:t>
      </w:r>
      <w:r w:rsidR="008F2363" w:rsidRPr="008F2363">
        <w:rPr>
          <w:rFonts w:ascii="Times New Roman" w:hAnsi="Times New Roman" w:cs="Times New Roman"/>
          <w:b/>
          <w:bCs/>
          <w:color w:val="000000" w:themeColor="text1"/>
          <w:sz w:val="24"/>
          <w:szCs w:val="24"/>
        </w:rPr>
        <w:t xml:space="preserve"> </w:t>
      </w:r>
      <w:r w:rsidR="008F2363">
        <w:rPr>
          <w:rFonts w:ascii="Times New Roman" w:hAnsi="Times New Roman" w:cs="Times New Roman"/>
          <w:b/>
          <w:bCs/>
          <w:color w:val="000000" w:themeColor="text1"/>
          <w:sz w:val="24"/>
          <w:szCs w:val="24"/>
        </w:rPr>
        <w:br w:type="column"/>
      </w:r>
    </w:p>
    <w:p w14:paraId="432C05F9" w14:textId="67493F46" w:rsidR="008F2363" w:rsidRPr="00F2518B" w:rsidRDefault="008F2363" w:rsidP="008F2363">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F2518B">
        <w:rPr>
          <w:rFonts w:ascii="Times New Roman" w:hAnsi="Times New Roman" w:cs="Times New Roman"/>
          <w:b/>
          <w:bCs/>
          <w:color w:val="000000" w:themeColor="text1"/>
          <w:sz w:val="24"/>
          <w:szCs w:val="24"/>
        </w:rPr>
        <w:t>MDA Levels</w:t>
      </w:r>
    </w:p>
    <w:p w14:paraId="28ADDC8D" w14:textId="16F71570" w:rsidR="008F2363" w:rsidRPr="008F2363" w:rsidRDefault="008F2363" w:rsidP="008F2363">
      <w:pPr>
        <w:tabs>
          <w:tab w:val="left" w:pos="284"/>
        </w:tabs>
        <w:spacing w:before="240" w:after="0" w:line="240" w:lineRule="auto"/>
        <w:contextualSpacing/>
        <w:jc w:val="both"/>
        <w:outlineLvl w:val="0"/>
        <w:rPr>
          <w:rFonts w:ascii="Times New Roman" w:hAnsi="Times New Roman" w:cs="Times New Roman"/>
          <w:bCs/>
          <w:color w:val="000000" w:themeColor="text1"/>
          <w:spacing w:val="-4"/>
          <w:sz w:val="24"/>
          <w:szCs w:val="24"/>
        </w:rPr>
        <w:sectPr w:rsidR="008F2363" w:rsidRPr="008F2363" w:rsidSect="004A75E8">
          <w:type w:val="continuous"/>
          <w:pgSz w:w="11907" w:h="16840" w:code="9"/>
          <w:pgMar w:top="1588" w:right="1134" w:bottom="1588" w:left="1134" w:header="680" w:footer="680" w:gutter="0"/>
          <w:cols w:num="2" w:space="720"/>
          <w:titlePg/>
          <w:docGrid w:linePitch="360"/>
        </w:sectPr>
      </w:pPr>
      <w:r w:rsidRPr="00F2518B">
        <w:rPr>
          <w:rFonts w:ascii="Times New Roman" w:hAnsi="Times New Roman" w:cs="Times New Roman"/>
          <w:bCs/>
          <w:color w:val="000000" w:themeColor="text1"/>
          <w:spacing w:val="-4"/>
          <w:sz w:val="24"/>
          <w:szCs w:val="24"/>
        </w:rPr>
        <w:t xml:space="preserve">No significant difference was observed in MDA levels between the Lina and control groups (p &gt; 0.05) (Fig. 4). However, a notable elevation in MDA was evident in the MNZ group compared to </w:t>
      </w:r>
      <w:r>
        <w:rPr>
          <w:rFonts w:ascii="Times New Roman" w:hAnsi="Times New Roman" w:cs="Times New Roman"/>
          <w:bCs/>
          <w:color w:val="000000" w:themeColor="text1"/>
          <w:spacing w:val="-4"/>
          <w:sz w:val="24"/>
          <w:szCs w:val="24"/>
        </w:rPr>
        <w:t xml:space="preserve">the </w:t>
      </w:r>
      <w:r w:rsidRPr="00F2518B">
        <w:rPr>
          <w:rFonts w:ascii="Times New Roman" w:hAnsi="Times New Roman" w:cs="Times New Roman"/>
          <w:bCs/>
          <w:color w:val="000000" w:themeColor="text1"/>
          <w:spacing w:val="-4"/>
          <w:sz w:val="24"/>
          <w:szCs w:val="24"/>
        </w:rPr>
        <w:t>control group, indicating increased lipid peroxidation (p&lt; 0.0001). Importantly, administration of Lina at both 10 and 20 mg/kg significantly suppressed MDA levels compared to the MNZ-only group, demonstrating its protective antioxidant effect against MNZ-induced oxidative stress (</w:t>
      </w:r>
      <w:r>
        <w:rPr>
          <w:rFonts w:ascii="Times New Roman" w:hAnsi="Times New Roman" w:cs="Times New Roman"/>
          <w:bCs/>
          <w:color w:val="000000" w:themeColor="text1"/>
          <w:spacing w:val="-4"/>
          <w:sz w:val="24"/>
          <w:szCs w:val="24"/>
        </w:rPr>
        <w:t>p&lt;</w:t>
      </w:r>
      <w:r w:rsidRPr="00F2518B">
        <w:rPr>
          <w:rFonts w:ascii="Times New Roman" w:hAnsi="Times New Roman" w:cs="Times New Roman"/>
          <w:bCs/>
          <w:color w:val="000000" w:themeColor="text1"/>
          <w:spacing w:val="-4"/>
          <w:sz w:val="24"/>
          <w:szCs w:val="24"/>
        </w:rPr>
        <w:t xml:space="preserve"> 0.0001).</w:t>
      </w:r>
    </w:p>
    <w:p w14:paraId="090D11C7" w14:textId="77777777" w:rsidR="008F2363" w:rsidRDefault="008F2363"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3763D5AC" w14:textId="77777777" w:rsidR="008F2363" w:rsidRDefault="008F2363"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504B2169" w14:textId="77777777" w:rsidR="008F2363" w:rsidRDefault="008F2363"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54D5D62A" w14:textId="77777777" w:rsidR="008F2363" w:rsidRDefault="008F2363"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7017E8B7" w14:textId="77777777" w:rsidR="008F2363" w:rsidRDefault="008F2363"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5A42A0FC" w14:textId="77777777" w:rsidR="008F2363" w:rsidRDefault="008F2363"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6E47D01E" w14:textId="77777777" w:rsidR="008D2A7D" w:rsidRDefault="008D2A7D"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51AE876B" w14:textId="77777777" w:rsidR="008D2A7D" w:rsidRDefault="008D2A7D"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7577732C" w14:textId="77777777" w:rsidR="008D2A7D" w:rsidRDefault="008D2A7D"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1BCEC23F" w14:textId="77777777" w:rsidR="008D2A7D" w:rsidRDefault="008D2A7D"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sectPr w:rsidR="008D2A7D" w:rsidSect="004A75E8">
          <w:type w:val="continuous"/>
          <w:pgSz w:w="11907" w:h="16840" w:code="9"/>
          <w:pgMar w:top="1588" w:right="1134" w:bottom="1588" w:left="1134" w:header="680" w:footer="680" w:gutter="0"/>
          <w:cols w:num="2" w:space="720"/>
          <w:titlePg/>
          <w:docGrid w:linePitch="360"/>
        </w:sectPr>
      </w:pPr>
    </w:p>
    <w:p w14:paraId="6A6C19BB" w14:textId="15AA99A9" w:rsidR="00F2518B" w:rsidRPr="008D2A7D" w:rsidRDefault="00F2518B" w:rsidP="008D2A7D">
      <w:pPr>
        <w:spacing w:after="0"/>
        <w:jc w:val="both"/>
        <w:rPr>
          <w:rFonts w:asciiTheme="majorBidi" w:hAnsiTheme="majorBidi" w:cstheme="majorBidi"/>
        </w:rPr>
      </w:pPr>
      <w:r w:rsidRPr="00B90ECC">
        <w:rPr>
          <w:noProof/>
        </w:rPr>
        <w:drawing>
          <wp:inline distT="0" distB="0" distL="0" distR="0" wp14:anchorId="50240029" wp14:editId="2248C940">
            <wp:extent cx="2859314" cy="2887785"/>
            <wp:effectExtent l="0" t="0" r="6350" b="3810"/>
            <wp:docPr id="16827944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bright="21000"/>
                              </a14:imgEffect>
                            </a14:imgLayer>
                          </a14:imgProps>
                        </a:ext>
                        <a:ext uri="{28A0092B-C50C-407E-A947-70E740481C1C}">
                          <a14:useLocalDpi xmlns:a14="http://schemas.microsoft.com/office/drawing/2010/main" val="0"/>
                        </a:ext>
                      </a:extLst>
                    </a:blip>
                    <a:srcRect t="1639" b="4431"/>
                    <a:stretch/>
                  </pic:blipFill>
                  <pic:spPr bwMode="auto">
                    <a:xfrm>
                      <a:off x="0" y="0"/>
                      <a:ext cx="2859314" cy="2887785"/>
                    </a:xfrm>
                    <a:prstGeom prst="rect">
                      <a:avLst/>
                    </a:prstGeom>
                    <a:noFill/>
                    <a:ln>
                      <a:noFill/>
                    </a:ln>
                    <a:extLst>
                      <a:ext uri="{53640926-AAD7-44D8-BBD7-CCE9431645EC}">
                        <a14:shadowObscured xmlns:a14="http://schemas.microsoft.com/office/drawing/2010/main"/>
                      </a:ext>
                    </a:extLst>
                  </pic:spPr>
                </pic:pic>
              </a:graphicData>
            </a:graphic>
          </wp:inline>
        </w:drawing>
      </w:r>
      <w:r w:rsidRPr="00D968A2">
        <w:rPr>
          <w:rFonts w:asciiTheme="majorBidi" w:hAnsiTheme="majorBidi" w:cstheme="majorBidi"/>
          <w:b/>
          <w:bCs/>
          <w:spacing w:val="-4"/>
        </w:rPr>
        <w:t>Fig. 3.</w:t>
      </w:r>
      <w:r w:rsidRPr="00D968A2">
        <w:rPr>
          <w:rFonts w:asciiTheme="majorBidi" w:hAnsiTheme="majorBidi" w:cstheme="majorBidi"/>
          <w:spacing w:val="-4"/>
        </w:rPr>
        <w:t xml:space="preserve"> Effects of Linagliptin on the concentrations of Total Thiol in rat thyroid tissue. Values are means ± SD. Using one-way ANOVA followed by Tukey post-hoc test, (n = 9). *p&lt;0.05, **p&lt;0.01, and **** p&lt;0.0001. MNZ: Mancozeb; Lina: Linagliptin.</w:t>
      </w:r>
    </w:p>
    <w:p w14:paraId="601F8696" w14:textId="77777777" w:rsidR="00D968A2" w:rsidRPr="00B90ECC" w:rsidRDefault="00D968A2" w:rsidP="00D968A2">
      <w:pPr>
        <w:spacing w:after="0" w:line="240" w:lineRule="auto"/>
        <w:jc w:val="center"/>
        <w:rPr>
          <w:rFonts w:asciiTheme="majorBidi" w:hAnsiTheme="majorBidi" w:cstheme="majorBidi"/>
        </w:rPr>
      </w:pPr>
      <w:r w:rsidRPr="00B90ECC">
        <w:rPr>
          <w:noProof/>
        </w:rPr>
        <w:drawing>
          <wp:inline distT="0" distB="0" distL="0" distR="0" wp14:anchorId="7339CD51" wp14:editId="491769F5">
            <wp:extent cx="2818130" cy="2921853"/>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8" cstate="print"/>
                    <a:srcRect t="2359" b="4987"/>
                    <a:stretch/>
                  </pic:blipFill>
                  <pic:spPr bwMode="auto">
                    <a:xfrm>
                      <a:off x="0" y="0"/>
                      <a:ext cx="2818130" cy="2921853"/>
                    </a:xfrm>
                    <a:prstGeom prst="rect">
                      <a:avLst/>
                    </a:prstGeom>
                    <a:noFill/>
                    <a:ln>
                      <a:noFill/>
                    </a:ln>
                    <a:extLst>
                      <a:ext uri="{53640926-AAD7-44D8-BBD7-CCE9431645EC}">
                        <a14:shadowObscured xmlns:a14="http://schemas.microsoft.com/office/drawing/2010/main"/>
                      </a:ext>
                    </a:extLst>
                  </pic:spPr>
                </pic:pic>
              </a:graphicData>
            </a:graphic>
          </wp:inline>
        </w:drawing>
      </w:r>
    </w:p>
    <w:p w14:paraId="347B24A6" w14:textId="77777777" w:rsidR="00D968A2" w:rsidRDefault="00D968A2" w:rsidP="00D968A2">
      <w:pPr>
        <w:spacing w:after="0" w:line="240" w:lineRule="auto"/>
        <w:jc w:val="both"/>
        <w:rPr>
          <w:rFonts w:asciiTheme="majorBidi" w:hAnsiTheme="majorBidi" w:cstheme="majorBidi"/>
        </w:rPr>
      </w:pPr>
      <w:r w:rsidRPr="00D968A2">
        <w:rPr>
          <w:rFonts w:asciiTheme="majorBidi" w:hAnsiTheme="majorBidi" w:cstheme="majorBidi"/>
          <w:b/>
          <w:bCs/>
        </w:rPr>
        <w:t>Fig. 4.</w:t>
      </w:r>
      <w:r w:rsidRPr="00B90ECC">
        <w:rPr>
          <w:rFonts w:asciiTheme="majorBidi" w:hAnsiTheme="majorBidi" w:cstheme="majorBidi"/>
        </w:rPr>
        <w:t xml:space="preserve"> Effects of Linagliptin on the concentrations of MDA in rat thyroid tissue. Values are means ± SD. Using one-way ANOVA followed by Tukey post-hoc test, (n = 9). **p&lt;0.01, and **** p&lt;0.0001. MNZ: Mancozeb; Lina: Linagliptin.</w:t>
      </w:r>
    </w:p>
    <w:p w14:paraId="2A53C4B0" w14:textId="77777777" w:rsidR="008F2363" w:rsidRDefault="008F2363" w:rsidP="00D968A2">
      <w:pPr>
        <w:spacing w:after="0" w:line="240" w:lineRule="auto"/>
        <w:jc w:val="both"/>
        <w:rPr>
          <w:rFonts w:asciiTheme="majorBidi" w:hAnsiTheme="majorBidi" w:cstheme="majorBidi"/>
        </w:rPr>
        <w:sectPr w:rsidR="008F2363" w:rsidSect="008F2363">
          <w:type w:val="continuous"/>
          <w:pgSz w:w="11907" w:h="16840" w:code="9"/>
          <w:pgMar w:top="1588" w:right="1134" w:bottom="1588" w:left="1134" w:header="680" w:footer="680" w:gutter="0"/>
          <w:cols w:num="2" w:space="720"/>
          <w:titlePg/>
          <w:docGrid w:linePitch="360"/>
        </w:sectPr>
      </w:pPr>
    </w:p>
    <w:p w14:paraId="762971AD" w14:textId="77777777" w:rsidR="009752F6" w:rsidRPr="00B90ECC" w:rsidRDefault="009752F6" w:rsidP="00D968A2">
      <w:pPr>
        <w:spacing w:after="0" w:line="240" w:lineRule="auto"/>
        <w:jc w:val="both"/>
        <w:rPr>
          <w:rFonts w:asciiTheme="majorBidi" w:hAnsiTheme="majorBidi" w:cstheme="majorBidi"/>
        </w:rPr>
      </w:pPr>
    </w:p>
    <w:p w14:paraId="636E5C7C" w14:textId="77777777" w:rsidR="006409EC" w:rsidRPr="009F383E" w:rsidRDefault="006409EC" w:rsidP="006409EC">
      <w:pPr>
        <w:tabs>
          <w:tab w:val="left" w:pos="284"/>
        </w:tabs>
        <w:spacing w:before="240" w:after="0" w:line="240" w:lineRule="auto"/>
        <w:contextualSpacing/>
        <w:jc w:val="both"/>
        <w:outlineLvl w:val="0"/>
        <w:rPr>
          <w:rFonts w:ascii="Times New Roman" w:hAnsi="Times New Roman" w:cs="Times New Roman"/>
          <w:bCs/>
          <w:color w:val="000000" w:themeColor="text1"/>
          <w:sz w:val="18"/>
          <w:szCs w:val="18"/>
        </w:rPr>
        <w:sectPr w:rsidR="006409EC" w:rsidRPr="009F383E" w:rsidSect="006409EC">
          <w:type w:val="continuous"/>
          <w:pgSz w:w="11907" w:h="16840" w:code="9"/>
          <w:pgMar w:top="1588" w:right="1134" w:bottom="1588" w:left="1134" w:header="680" w:footer="680" w:gutter="0"/>
          <w:cols w:space="720"/>
          <w:titlePg/>
          <w:docGrid w:linePitch="360"/>
        </w:sectPr>
      </w:pPr>
    </w:p>
    <w:p w14:paraId="2CFF363B" w14:textId="00216313" w:rsidR="00D968A2" w:rsidRPr="00D968A2" w:rsidRDefault="00D968A2" w:rsidP="00D968A2">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rPr>
      </w:pPr>
      <w:r w:rsidRPr="00D968A2">
        <w:rPr>
          <w:rFonts w:ascii="Times New Roman" w:hAnsi="Times New Roman" w:cs="Times New Roman"/>
          <w:b/>
          <w:bCs/>
          <w:i/>
          <w:iCs/>
          <w:color w:val="000000" w:themeColor="text1"/>
          <w:sz w:val="24"/>
          <w:szCs w:val="24"/>
        </w:rPr>
        <w:t>T3 and T4 Levels</w:t>
      </w:r>
    </w:p>
    <w:p w14:paraId="3887384E" w14:textId="54341776" w:rsidR="00D968A2" w:rsidRDefault="00D968A2" w:rsidP="008F2363">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r w:rsidRPr="00D968A2">
        <w:rPr>
          <w:rFonts w:ascii="Times New Roman" w:hAnsi="Times New Roman" w:cs="Times New Roman"/>
          <w:bCs/>
          <w:color w:val="000000" w:themeColor="text1"/>
          <w:sz w:val="24"/>
          <w:szCs w:val="24"/>
        </w:rPr>
        <w:t>Figure 5 reveals a dramatic decrease in T3 levels in the MNZ group compared to the control group (</w:t>
      </w:r>
      <w:r w:rsidR="009752F6">
        <w:rPr>
          <w:rFonts w:ascii="Times New Roman" w:hAnsi="Times New Roman" w:cs="Times New Roman"/>
          <w:bCs/>
          <w:color w:val="000000" w:themeColor="text1"/>
          <w:sz w:val="24"/>
          <w:szCs w:val="24"/>
        </w:rPr>
        <w:t>p&lt;</w:t>
      </w:r>
      <w:r w:rsidRPr="00D968A2">
        <w:rPr>
          <w:rFonts w:ascii="Times New Roman" w:hAnsi="Times New Roman" w:cs="Times New Roman"/>
          <w:bCs/>
          <w:color w:val="000000" w:themeColor="text1"/>
          <w:sz w:val="24"/>
          <w:szCs w:val="24"/>
        </w:rPr>
        <w:t xml:space="preserve"> 0.01). The group receiving Lina alone shows no significant change in T3 levels. Notably, when Lina is combined with MNZ,</w:t>
      </w:r>
      <w:r w:rsidRPr="00D968A2">
        <w:rPr>
          <w:rFonts w:ascii="Times New Roman" w:hAnsi="Times New Roman" w:cs="Times New Roman"/>
          <w:bCs/>
          <w:color w:val="000000" w:themeColor="text1"/>
          <w:spacing w:val="80"/>
          <w:sz w:val="24"/>
          <w:szCs w:val="24"/>
        </w:rPr>
        <w:t xml:space="preserve"> </w:t>
      </w:r>
      <w:r w:rsidRPr="00D968A2">
        <w:rPr>
          <w:rFonts w:ascii="Times New Roman" w:hAnsi="Times New Roman" w:cs="Times New Roman"/>
          <w:bCs/>
          <w:color w:val="000000" w:themeColor="text1"/>
          <w:sz w:val="24"/>
          <w:szCs w:val="24"/>
        </w:rPr>
        <w:t>especially</w:t>
      </w:r>
      <w:r w:rsidR="000545C1" w:rsidRPr="00D968A2">
        <w:rPr>
          <w:rFonts w:ascii="Times New Roman" w:hAnsi="Times New Roman" w:cs="Times New Roman"/>
          <w:bCs/>
          <w:color w:val="000000" w:themeColor="text1"/>
          <w:spacing w:val="80"/>
          <w:sz w:val="24"/>
          <w:szCs w:val="24"/>
        </w:rPr>
        <w:t xml:space="preserve"> </w:t>
      </w:r>
      <w:r w:rsidRPr="00D968A2">
        <w:rPr>
          <w:rFonts w:ascii="Times New Roman" w:hAnsi="Times New Roman" w:cs="Times New Roman"/>
          <w:bCs/>
          <w:color w:val="000000" w:themeColor="text1"/>
          <w:sz w:val="24"/>
          <w:szCs w:val="24"/>
        </w:rPr>
        <w:t>at</w:t>
      </w:r>
      <w:r w:rsidR="000545C1" w:rsidRPr="00D968A2">
        <w:rPr>
          <w:rFonts w:ascii="Times New Roman" w:hAnsi="Times New Roman" w:cs="Times New Roman"/>
          <w:bCs/>
          <w:color w:val="000000" w:themeColor="text1"/>
          <w:spacing w:val="100"/>
          <w:sz w:val="24"/>
          <w:szCs w:val="24"/>
        </w:rPr>
        <w:t xml:space="preserve"> </w:t>
      </w:r>
      <w:r w:rsidRPr="00D968A2">
        <w:rPr>
          <w:rFonts w:ascii="Times New Roman" w:hAnsi="Times New Roman" w:cs="Times New Roman"/>
          <w:bCs/>
          <w:color w:val="000000" w:themeColor="text1"/>
          <w:sz w:val="24"/>
          <w:szCs w:val="24"/>
        </w:rPr>
        <w:t>the</w:t>
      </w:r>
      <w:r w:rsidR="000545C1" w:rsidRPr="00D968A2">
        <w:rPr>
          <w:rFonts w:ascii="Times New Roman" w:hAnsi="Times New Roman" w:cs="Times New Roman"/>
          <w:bCs/>
          <w:color w:val="000000" w:themeColor="text1"/>
          <w:spacing w:val="100"/>
          <w:sz w:val="24"/>
          <w:szCs w:val="24"/>
        </w:rPr>
        <w:t xml:space="preserve"> </w:t>
      </w:r>
      <w:r w:rsidRPr="00D968A2">
        <w:rPr>
          <w:rFonts w:ascii="Times New Roman" w:hAnsi="Times New Roman" w:cs="Times New Roman"/>
          <w:bCs/>
          <w:color w:val="000000" w:themeColor="text1"/>
          <w:sz w:val="24"/>
          <w:szCs w:val="24"/>
        </w:rPr>
        <w:t>higher</w:t>
      </w:r>
      <w:r w:rsidR="000545C1" w:rsidRPr="00D968A2">
        <w:rPr>
          <w:rFonts w:ascii="Times New Roman" w:hAnsi="Times New Roman" w:cs="Times New Roman"/>
          <w:bCs/>
          <w:color w:val="000000" w:themeColor="text1"/>
          <w:spacing w:val="100"/>
          <w:sz w:val="24"/>
          <w:szCs w:val="24"/>
        </w:rPr>
        <w:t xml:space="preserve"> </w:t>
      </w:r>
      <w:r w:rsidRPr="00D968A2">
        <w:rPr>
          <w:rFonts w:ascii="Times New Roman" w:hAnsi="Times New Roman" w:cs="Times New Roman"/>
          <w:bCs/>
          <w:color w:val="000000" w:themeColor="text1"/>
          <w:sz w:val="24"/>
          <w:szCs w:val="24"/>
        </w:rPr>
        <w:t>dose</w:t>
      </w:r>
      <w:r w:rsidR="000545C1" w:rsidRPr="00D968A2">
        <w:rPr>
          <w:rFonts w:ascii="Times New Roman" w:hAnsi="Times New Roman" w:cs="Times New Roman"/>
          <w:bCs/>
          <w:color w:val="000000" w:themeColor="text1"/>
          <w:spacing w:val="100"/>
          <w:sz w:val="24"/>
          <w:szCs w:val="24"/>
        </w:rPr>
        <w:t xml:space="preserve"> </w:t>
      </w:r>
      <w:r w:rsidRPr="00D968A2">
        <w:rPr>
          <w:rFonts w:ascii="Times New Roman" w:hAnsi="Times New Roman" w:cs="Times New Roman"/>
          <w:bCs/>
          <w:color w:val="000000" w:themeColor="text1"/>
          <w:sz w:val="24"/>
          <w:szCs w:val="24"/>
        </w:rPr>
        <w:t>of</w:t>
      </w:r>
      <w:r w:rsidR="000545C1" w:rsidRPr="00D968A2">
        <w:rPr>
          <w:rFonts w:ascii="Times New Roman" w:hAnsi="Times New Roman" w:cs="Times New Roman"/>
          <w:bCs/>
          <w:color w:val="000000" w:themeColor="text1"/>
          <w:spacing w:val="100"/>
          <w:sz w:val="24"/>
          <w:szCs w:val="24"/>
        </w:rPr>
        <w:t xml:space="preserve"> </w:t>
      </w:r>
      <w:r w:rsidRPr="00D968A2">
        <w:rPr>
          <w:rFonts w:ascii="Times New Roman" w:hAnsi="Times New Roman" w:cs="Times New Roman"/>
          <w:bCs/>
          <w:color w:val="000000" w:themeColor="text1"/>
          <w:sz w:val="24"/>
          <w:szCs w:val="24"/>
        </w:rPr>
        <w:t>20 mg/kg, T3 levels gradually increase relative to the MNZ-only group (</w:t>
      </w:r>
      <w:r w:rsidR="009752F6">
        <w:rPr>
          <w:rFonts w:ascii="Times New Roman" w:hAnsi="Times New Roman" w:cs="Times New Roman"/>
          <w:bCs/>
          <w:color w:val="000000" w:themeColor="text1"/>
          <w:sz w:val="24"/>
          <w:szCs w:val="24"/>
        </w:rPr>
        <w:t>p&lt;</w:t>
      </w:r>
      <w:r w:rsidRPr="00D968A2">
        <w:rPr>
          <w:rFonts w:ascii="Times New Roman" w:hAnsi="Times New Roman" w:cs="Times New Roman"/>
          <w:bCs/>
          <w:color w:val="000000" w:themeColor="text1"/>
          <w:sz w:val="24"/>
          <w:szCs w:val="24"/>
        </w:rPr>
        <w:t xml:space="preserve"> 0.01). Conversely, the groups treated with MNZ combined with Lina at doses of 0.5 mg/kg and 10 mg/kg do not exhibit any significant changes in T3 levels compared to the MNZ-only group.</w:t>
      </w:r>
    </w:p>
    <w:p w14:paraId="5B3EF7A1" w14:textId="71601BA2" w:rsidR="008F2363" w:rsidRDefault="008F2363" w:rsidP="008F2363">
      <w:pPr>
        <w:tabs>
          <w:tab w:val="left" w:pos="284"/>
        </w:tabs>
        <w:spacing w:before="240" w:after="0" w:line="240" w:lineRule="auto"/>
        <w:contextualSpacing/>
        <w:jc w:val="both"/>
        <w:outlineLvl w:val="0"/>
        <w:rPr>
          <w:rFonts w:ascii="Times New Roman" w:hAnsi="Times New Roman" w:cs="Times New Roman"/>
          <w:bCs/>
          <w:color w:val="000000" w:themeColor="text1"/>
          <w:spacing w:val="-4"/>
          <w:sz w:val="24"/>
          <w:szCs w:val="24"/>
        </w:rPr>
      </w:pPr>
      <w:r w:rsidRPr="00D968A2">
        <w:rPr>
          <w:rFonts w:ascii="Times New Roman" w:hAnsi="Times New Roman" w:cs="Times New Roman"/>
          <w:bCs/>
          <w:color w:val="000000" w:themeColor="text1"/>
          <w:spacing w:val="-4"/>
          <w:sz w:val="24"/>
          <w:szCs w:val="24"/>
        </w:rPr>
        <w:t>Treatment with Lina alone does not significantly alter T4 levels (p&gt;0.05) (Fig. 6). Importantly, when Lina is co-administered with MNZ at doses of 10 and 20 mg/kg, there is a notable and statistically significant elevation in T4 levels. However, a lower dose of Lina (0.5 mg/kg) in combination with MNZ does not result in significant restoration of T4 levels.</w:t>
      </w:r>
      <w:r w:rsidR="008D2A7D">
        <w:rPr>
          <w:rFonts w:ascii="Times New Roman" w:hAnsi="Times New Roman" w:cs="Times New Roman"/>
          <w:bCs/>
          <w:color w:val="000000" w:themeColor="text1"/>
          <w:spacing w:val="-4"/>
          <w:sz w:val="24"/>
          <w:szCs w:val="24"/>
        </w:rPr>
        <w:br w:type="column"/>
      </w:r>
    </w:p>
    <w:p w14:paraId="5E86FBA0" w14:textId="77777777" w:rsidR="008D2A7D" w:rsidRDefault="008F2363" w:rsidP="008F2363">
      <w:pPr>
        <w:tabs>
          <w:tab w:val="left" w:pos="284"/>
        </w:tabs>
        <w:spacing w:before="240" w:after="0" w:line="240" w:lineRule="auto"/>
        <w:contextualSpacing/>
        <w:jc w:val="both"/>
        <w:outlineLvl w:val="0"/>
        <w:rPr>
          <w:rFonts w:asciiTheme="majorBidi" w:eastAsia="Arial" w:hAnsiTheme="majorBidi" w:cstheme="majorBidi"/>
          <w:b/>
          <w:bCs/>
          <w:i/>
          <w:iCs/>
          <w:sz w:val="24"/>
          <w:szCs w:val="24"/>
        </w:rPr>
      </w:pPr>
      <w:r w:rsidRPr="00B852AD">
        <w:rPr>
          <w:rFonts w:asciiTheme="majorBidi" w:eastAsia="Arial" w:hAnsiTheme="majorBidi" w:cstheme="majorBidi"/>
          <w:b/>
          <w:bCs/>
          <w:i/>
          <w:iCs/>
          <w:sz w:val="24"/>
          <w:szCs w:val="24"/>
        </w:rPr>
        <w:t>TSH Levels</w:t>
      </w:r>
    </w:p>
    <w:p w14:paraId="28A7A746" w14:textId="216C9B1A" w:rsidR="008F2363" w:rsidRDefault="008F2363" w:rsidP="008F2363">
      <w:pPr>
        <w:tabs>
          <w:tab w:val="left" w:pos="284"/>
        </w:tabs>
        <w:spacing w:before="240" w:after="0" w:line="240" w:lineRule="auto"/>
        <w:contextualSpacing/>
        <w:jc w:val="both"/>
        <w:outlineLvl w:val="0"/>
        <w:rPr>
          <w:rFonts w:asciiTheme="majorBidi" w:eastAsia="Arial" w:hAnsiTheme="majorBidi" w:cstheme="majorBidi"/>
          <w:bCs/>
          <w:sz w:val="24"/>
          <w:szCs w:val="24"/>
        </w:rPr>
      </w:pPr>
      <w:r w:rsidRPr="00B852AD">
        <w:rPr>
          <w:rFonts w:asciiTheme="majorBidi" w:eastAsia="Arial" w:hAnsiTheme="majorBidi" w:cstheme="majorBidi"/>
          <w:bCs/>
          <w:sz w:val="24"/>
          <w:szCs w:val="24"/>
        </w:rPr>
        <w:t>The control and Lina groups exhibited comparable TSH levels, with no statistically significant difference between them (p &gt; 0.05) (Fig. 7). In contrast, the MNZ group showed a significant increase in TSH levels compared to</w:t>
      </w:r>
      <w:r>
        <w:rPr>
          <w:rFonts w:asciiTheme="majorBidi" w:eastAsia="Arial" w:hAnsiTheme="majorBidi" w:cstheme="majorBidi"/>
          <w:bCs/>
          <w:sz w:val="24"/>
          <w:szCs w:val="24"/>
        </w:rPr>
        <w:t xml:space="preserve"> </w:t>
      </w:r>
      <w:r w:rsidRPr="00B852AD">
        <w:rPr>
          <w:rFonts w:asciiTheme="majorBidi" w:eastAsia="Arial" w:hAnsiTheme="majorBidi" w:cstheme="majorBidi"/>
          <w:bCs/>
          <w:sz w:val="24"/>
          <w:szCs w:val="24"/>
        </w:rPr>
        <w:t>the control and Lina groups (</w:t>
      </w:r>
      <w:r>
        <w:rPr>
          <w:rFonts w:asciiTheme="majorBidi" w:eastAsia="Arial" w:hAnsiTheme="majorBidi" w:cstheme="majorBidi"/>
          <w:bCs/>
          <w:sz w:val="24"/>
          <w:szCs w:val="24"/>
        </w:rPr>
        <w:t>p&lt;</w:t>
      </w:r>
      <w:r w:rsidRPr="00B852AD">
        <w:rPr>
          <w:rFonts w:asciiTheme="majorBidi" w:eastAsia="Arial" w:hAnsiTheme="majorBidi" w:cstheme="majorBidi"/>
          <w:bCs/>
          <w:sz w:val="24"/>
          <w:szCs w:val="24"/>
        </w:rPr>
        <w:t xml:space="preserve"> 0.001). The combined treatments of MNZ with Lina at doses of 10 and 20 mg/kg resulted in a dose-dependent decrease in TSH levels compared to MNZ alone. However, the MNZ + Lina 0.5 mg/kg group did not differ significantly from MNZ alone. </w:t>
      </w:r>
    </w:p>
    <w:p w14:paraId="659D5DD0" w14:textId="77777777" w:rsidR="008D2A7D" w:rsidRDefault="008D2A7D" w:rsidP="008F2363">
      <w:pPr>
        <w:tabs>
          <w:tab w:val="left" w:pos="284"/>
        </w:tabs>
        <w:spacing w:before="240" w:after="0" w:line="240" w:lineRule="auto"/>
        <w:contextualSpacing/>
        <w:jc w:val="both"/>
        <w:outlineLvl w:val="0"/>
        <w:rPr>
          <w:rFonts w:asciiTheme="majorBidi" w:eastAsia="Arial" w:hAnsiTheme="majorBidi" w:cstheme="majorBidi"/>
          <w:bCs/>
          <w:sz w:val="24"/>
          <w:szCs w:val="24"/>
        </w:rPr>
      </w:pPr>
    </w:p>
    <w:p w14:paraId="27AEAFF3" w14:textId="77777777" w:rsidR="008D2A7D" w:rsidRPr="00B852AD" w:rsidRDefault="008D2A7D" w:rsidP="008D2A7D">
      <w:pPr>
        <w:tabs>
          <w:tab w:val="left" w:pos="284"/>
        </w:tabs>
        <w:spacing w:before="240" w:after="0" w:line="240" w:lineRule="auto"/>
        <w:contextualSpacing/>
        <w:jc w:val="both"/>
        <w:outlineLvl w:val="0"/>
        <w:rPr>
          <w:rFonts w:ascii="Times New Roman" w:hAnsi="Times New Roman" w:cs="Times New Roman"/>
          <w:color w:val="000000" w:themeColor="text1"/>
          <w:sz w:val="24"/>
          <w:szCs w:val="24"/>
        </w:rPr>
      </w:pPr>
      <w:r w:rsidRPr="00B852AD">
        <w:rPr>
          <w:rFonts w:ascii="Times New Roman" w:hAnsi="Times New Roman" w:cs="Times New Roman"/>
          <w:b/>
          <w:bCs/>
          <w:color w:val="000000" w:themeColor="text1"/>
          <w:sz w:val="24"/>
          <w:szCs w:val="24"/>
        </w:rPr>
        <w:t>Histological Examination of Thyroid Tissue</w:t>
      </w:r>
    </w:p>
    <w:p w14:paraId="60DD5FBD" w14:textId="097482E3" w:rsidR="008D2A7D" w:rsidRPr="008F2363" w:rsidRDefault="008D2A7D" w:rsidP="008D2A7D">
      <w:pPr>
        <w:tabs>
          <w:tab w:val="left" w:pos="284"/>
        </w:tabs>
        <w:spacing w:before="240" w:after="0" w:line="240" w:lineRule="auto"/>
        <w:contextualSpacing/>
        <w:jc w:val="both"/>
        <w:outlineLvl w:val="0"/>
        <w:rPr>
          <w:rFonts w:asciiTheme="majorBidi" w:eastAsia="Arial" w:hAnsiTheme="majorBidi" w:cstheme="majorBidi"/>
          <w:bCs/>
          <w:i/>
          <w:iCs/>
          <w:sz w:val="24"/>
          <w:szCs w:val="24"/>
        </w:rPr>
      </w:pPr>
      <w:r w:rsidRPr="00B852AD">
        <w:rPr>
          <w:rFonts w:ascii="Times New Roman" w:hAnsi="Times New Roman" w:cs="Times New Roman"/>
          <w:color w:val="000000" w:themeColor="text1"/>
          <w:spacing w:val="4"/>
          <w:sz w:val="24"/>
          <w:szCs w:val="24"/>
        </w:rPr>
        <w:t>The control group and the groups receiving Lina alone show no significant tissue changes, corresponding to Grade 0 (Figs. 8A &amp; 8B, respectively). In contrast, groups treated with MNZ alone exhibit mild</w:t>
      </w:r>
      <w:r>
        <w:rPr>
          <w:rFonts w:ascii="Times New Roman" w:hAnsi="Times New Roman" w:cs="Times New Roman"/>
          <w:color w:val="000000" w:themeColor="text1"/>
          <w:spacing w:val="4"/>
          <w:sz w:val="24"/>
          <w:szCs w:val="24"/>
        </w:rPr>
        <w:br w:type="column"/>
      </w:r>
      <w:r w:rsidRPr="00B852AD">
        <w:rPr>
          <w:rFonts w:ascii="Times New Roman" w:hAnsi="Times New Roman" w:cs="Times New Roman"/>
          <w:color w:val="000000" w:themeColor="text1"/>
          <w:spacing w:val="4"/>
          <w:sz w:val="24"/>
          <w:szCs w:val="24"/>
        </w:rPr>
        <w:lastRenderedPageBreak/>
        <w:t>changes, corresponding to Grade 1 (Fig. 8C). The</w:t>
      </w:r>
      <w:r w:rsidRPr="00B852AD">
        <w:rPr>
          <w:rFonts w:ascii="Times New Roman" w:hAnsi="Times New Roman" w:cs="Times New Roman"/>
          <w:color w:val="000000" w:themeColor="text1"/>
          <w:spacing w:val="80"/>
          <w:sz w:val="24"/>
          <w:szCs w:val="24"/>
        </w:rPr>
        <w:t xml:space="preserve"> </w:t>
      </w:r>
      <w:r w:rsidRPr="00B852AD">
        <w:rPr>
          <w:rFonts w:ascii="Times New Roman" w:hAnsi="Times New Roman" w:cs="Times New Roman"/>
          <w:color w:val="000000" w:themeColor="text1"/>
          <w:spacing w:val="4"/>
          <w:sz w:val="24"/>
          <w:szCs w:val="24"/>
        </w:rPr>
        <w:t>groups</w:t>
      </w:r>
      <w:r w:rsidRPr="00B852AD">
        <w:rPr>
          <w:rFonts w:ascii="Times New Roman" w:hAnsi="Times New Roman" w:cs="Times New Roman"/>
          <w:color w:val="000000" w:themeColor="text1"/>
          <w:spacing w:val="80"/>
          <w:sz w:val="24"/>
          <w:szCs w:val="24"/>
        </w:rPr>
        <w:t xml:space="preserve"> </w:t>
      </w:r>
      <w:r w:rsidRPr="00B852AD">
        <w:rPr>
          <w:rFonts w:ascii="Times New Roman" w:hAnsi="Times New Roman" w:cs="Times New Roman"/>
          <w:color w:val="000000" w:themeColor="text1"/>
          <w:spacing w:val="4"/>
          <w:sz w:val="24"/>
          <w:szCs w:val="24"/>
        </w:rPr>
        <w:t>receiving</w:t>
      </w:r>
      <w:r w:rsidRPr="00B852AD">
        <w:rPr>
          <w:rFonts w:ascii="Times New Roman" w:hAnsi="Times New Roman" w:cs="Times New Roman"/>
          <w:color w:val="000000" w:themeColor="text1"/>
          <w:spacing w:val="80"/>
          <w:sz w:val="24"/>
          <w:szCs w:val="24"/>
        </w:rPr>
        <w:t xml:space="preserve"> </w:t>
      </w:r>
      <w:r w:rsidRPr="00B852AD">
        <w:rPr>
          <w:rFonts w:ascii="Times New Roman" w:hAnsi="Times New Roman" w:cs="Times New Roman"/>
          <w:color w:val="000000" w:themeColor="text1"/>
          <w:spacing w:val="4"/>
          <w:sz w:val="24"/>
          <w:szCs w:val="24"/>
        </w:rPr>
        <w:t>combined</w:t>
      </w:r>
      <w:r w:rsidRPr="00B852AD">
        <w:rPr>
          <w:rFonts w:ascii="Times New Roman" w:hAnsi="Times New Roman" w:cs="Times New Roman"/>
          <w:color w:val="000000" w:themeColor="text1"/>
          <w:spacing w:val="80"/>
          <w:sz w:val="24"/>
          <w:szCs w:val="24"/>
        </w:rPr>
        <w:t xml:space="preserve"> </w:t>
      </w:r>
      <w:r w:rsidRPr="00B852AD">
        <w:rPr>
          <w:rFonts w:ascii="Times New Roman" w:hAnsi="Times New Roman" w:cs="Times New Roman"/>
          <w:color w:val="000000" w:themeColor="text1"/>
          <w:spacing w:val="4"/>
          <w:sz w:val="24"/>
          <w:szCs w:val="24"/>
        </w:rPr>
        <w:t>Lina</w:t>
      </w:r>
      <w:r w:rsidRPr="00B852AD">
        <w:rPr>
          <w:rFonts w:ascii="Times New Roman" w:hAnsi="Times New Roman" w:cs="Times New Roman"/>
          <w:color w:val="000000" w:themeColor="text1"/>
          <w:spacing w:val="80"/>
          <w:sz w:val="24"/>
          <w:szCs w:val="24"/>
        </w:rPr>
        <w:t xml:space="preserve"> </w:t>
      </w:r>
      <w:r w:rsidRPr="00B852AD">
        <w:rPr>
          <w:rFonts w:ascii="Times New Roman" w:hAnsi="Times New Roman" w:cs="Times New Roman"/>
          <w:color w:val="000000" w:themeColor="text1"/>
          <w:spacing w:val="4"/>
          <w:sz w:val="24"/>
          <w:szCs w:val="24"/>
        </w:rPr>
        <w:t>and MNZ at a dose of 0.5 mg/kg showed similar Grade 1 alterations, indicating mild hyperplasia/hypertrophy (Fig</w:t>
      </w:r>
      <w:r>
        <w:rPr>
          <w:rFonts w:ascii="Times New Roman" w:hAnsi="Times New Roman" w:cs="Times New Roman"/>
          <w:color w:val="000000" w:themeColor="text1"/>
          <w:spacing w:val="4"/>
          <w:sz w:val="24"/>
          <w:szCs w:val="24"/>
        </w:rPr>
        <w:t>.</w:t>
      </w:r>
      <w:r w:rsidRPr="00B852AD">
        <w:rPr>
          <w:rFonts w:ascii="Times New Roman" w:hAnsi="Times New Roman" w:cs="Times New Roman"/>
          <w:color w:val="000000" w:themeColor="text1"/>
          <w:spacing w:val="4"/>
          <w:sz w:val="24"/>
          <w:szCs w:val="24"/>
        </w:rPr>
        <w:t xml:space="preserve"> 8D). Notably, </w:t>
      </w:r>
      <w:r>
        <w:rPr>
          <w:rFonts w:ascii="Times New Roman" w:hAnsi="Times New Roman" w:cs="Times New Roman"/>
          <w:color w:val="000000" w:themeColor="text1"/>
          <w:spacing w:val="4"/>
          <w:sz w:val="24"/>
          <w:szCs w:val="24"/>
        </w:rPr>
        <w:br w:type="column"/>
      </w:r>
      <w:r w:rsidRPr="00B852AD">
        <w:rPr>
          <w:rFonts w:ascii="Times New Roman" w:hAnsi="Times New Roman" w:cs="Times New Roman"/>
          <w:color w:val="000000" w:themeColor="text1"/>
          <w:spacing w:val="4"/>
          <w:sz w:val="24"/>
          <w:szCs w:val="24"/>
        </w:rPr>
        <w:t>when Lina is combined with MNZ at doses</w:t>
      </w:r>
      <w:r>
        <w:rPr>
          <w:rFonts w:ascii="Times New Roman" w:hAnsi="Times New Roman" w:cs="Times New Roman"/>
          <w:color w:val="000000" w:themeColor="text1"/>
          <w:spacing w:val="4"/>
          <w:sz w:val="24"/>
          <w:szCs w:val="24"/>
        </w:rPr>
        <w:t xml:space="preserve"> </w:t>
      </w:r>
      <w:r w:rsidRPr="00B852AD">
        <w:rPr>
          <w:rFonts w:ascii="Times New Roman" w:hAnsi="Times New Roman" w:cs="Times New Roman"/>
          <w:color w:val="000000" w:themeColor="text1"/>
          <w:spacing w:val="4"/>
          <w:sz w:val="24"/>
          <w:szCs w:val="24"/>
        </w:rPr>
        <w:t>of 10 and 20 mg/kg, the groups showed no significant tissue changes, corresponding to Grade 0 (Fig. 8E &amp; 8F, respectively).</w:t>
      </w:r>
    </w:p>
    <w:p w14:paraId="3B26D17A" w14:textId="77777777" w:rsidR="008F2363" w:rsidRDefault="008F2363" w:rsidP="00D968A2">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pPr>
    </w:p>
    <w:p w14:paraId="125F13AA" w14:textId="77777777" w:rsidR="00D968A2" w:rsidRDefault="00D968A2" w:rsidP="00D968A2">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rPr>
        <w:sectPr w:rsidR="00D968A2" w:rsidSect="004A75E8">
          <w:type w:val="continuous"/>
          <w:pgSz w:w="11907" w:h="16840" w:code="9"/>
          <w:pgMar w:top="1588" w:right="1134" w:bottom="1588" w:left="1134" w:header="680" w:footer="680" w:gutter="0"/>
          <w:cols w:num="2" w:space="720"/>
          <w:titlePg/>
          <w:docGrid w:linePitch="360"/>
        </w:sectPr>
      </w:pPr>
    </w:p>
    <w:p w14:paraId="1FA02B0B" w14:textId="77777777" w:rsidR="00B51205" w:rsidRDefault="00B51205" w:rsidP="00B51205">
      <w:pPr>
        <w:spacing w:after="0" w:line="240" w:lineRule="auto"/>
        <w:jc w:val="both"/>
        <w:rPr>
          <w:rFonts w:asciiTheme="majorBidi" w:hAnsiTheme="majorBidi" w:cstheme="majorBidi"/>
          <w:b/>
          <w:bCs/>
        </w:rPr>
      </w:pPr>
      <w:r w:rsidRPr="00B90ECC">
        <w:rPr>
          <w:noProof/>
        </w:rPr>
        <w:drawing>
          <wp:inline distT="0" distB="0" distL="0" distR="0" wp14:anchorId="4F5EDD2B" wp14:editId="7E1D3EC9">
            <wp:extent cx="2828041" cy="2660928"/>
            <wp:effectExtent l="0" t="0" r="4445" b="0"/>
            <wp:docPr id="9548210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brightnessContrast bright="29000"/>
                              </a14:imgEffect>
                            </a14:imgLayer>
                          </a14:imgProps>
                        </a:ext>
                        <a:ext uri="{28A0092B-C50C-407E-A947-70E740481C1C}">
                          <a14:useLocalDpi xmlns:a14="http://schemas.microsoft.com/office/drawing/2010/main" val="0"/>
                        </a:ext>
                      </a:extLst>
                    </a:blip>
                    <a:srcRect t="3475" b="2064"/>
                    <a:stretch/>
                  </pic:blipFill>
                  <pic:spPr bwMode="auto">
                    <a:xfrm>
                      <a:off x="0" y="0"/>
                      <a:ext cx="2845218" cy="2677090"/>
                    </a:xfrm>
                    <a:prstGeom prst="rect">
                      <a:avLst/>
                    </a:prstGeom>
                    <a:noFill/>
                    <a:ln>
                      <a:noFill/>
                    </a:ln>
                    <a:extLst>
                      <a:ext uri="{53640926-AAD7-44D8-BBD7-CCE9431645EC}">
                        <a14:shadowObscured xmlns:a14="http://schemas.microsoft.com/office/drawing/2010/main"/>
                      </a:ext>
                    </a:extLst>
                  </pic:spPr>
                </pic:pic>
              </a:graphicData>
            </a:graphic>
          </wp:inline>
        </w:drawing>
      </w:r>
    </w:p>
    <w:p w14:paraId="3281C942" w14:textId="6248D855" w:rsidR="00B51205" w:rsidRDefault="00B51205" w:rsidP="00B51205">
      <w:pPr>
        <w:spacing w:after="0" w:line="240" w:lineRule="auto"/>
        <w:jc w:val="both"/>
        <w:rPr>
          <w:noProof/>
        </w:rPr>
      </w:pPr>
      <w:r w:rsidRPr="00D968A2">
        <w:rPr>
          <w:rFonts w:asciiTheme="majorBidi" w:hAnsiTheme="majorBidi" w:cstheme="majorBidi"/>
          <w:b/>
          <w:bCs/>
        </w:rPr>
        <w:t>Fig. 5.</w:t>
      </w:r>
      <w:r w:rsidRPr="00B90ECC">
        <w:rPr>
          <w:rFonts w:asciiTheme="majorBidi" w:hAnsiTheme="majorBidi" w:cstheme="majorBidi"/>
        </w:rPr>
        <w:t xml:space="preserve"> Effects of Linagliptin on the T3 levels in rat serum. Values are means ± SD. Using one-way ANOVA followed by Tukey post-hoc test, (n = 9). **p&lt;0.01. MNZ: Mancozeb; Lina: Linagliptin</w:t>
      </w:r>
      <w:r w:rsidRPr="00B90ECC">
        <w:rPr>
          <w:noProof/>
        </w:rPr>
        <w:t>.</w:t>
      </w:r>
    </w:p>
    <w:p w14:paraId="3B17BD89" w14:textId="3432BDD7" w:rsidR="00D968A2" w:rsidRDefault="00B51205" w:rsidP="00D968A2">
      <w:pPr>
        <w:spacing w:after="0" w:line="240" w:lineRule="auto"/>
        <w:jc w:val="center"/>
        <w:rPr>
          <w:rFonts w:asciiTheme="majorBidi" w:hAnsiTheme="majorBidi" w:cstheme="majorBidi"/>
        </w:rPr>
      </w:pPr>
      <w:r>
        <w:rPr>
          <w:rFonts w:asciiTheme="majorBidi" w:hAnsiTheme="majorBidi" w:cstheme="majorBidi"/>
        </w:rPr>
        <w:br w:type="column"/>
      </w:r>
      <w:r w:rsidRPr="00B90ECC">
        <w:rPr>
          <w:noProof/>
        </w:rPr>
        <w:drawing>
          <wp:inline distT="0" distB="0" distL="0" distR="0" wp14:anchorId="77D88409" wp14:editId="2292F1FC">
            <wp:extent cx="2668759" cy="2601798"/>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1" cstate="print"/>
                    <a:srcRect t="3270" b="2242"/>
                    <a:stretch/>
                  </pic:blipFill>
                  <pic:spPr bwMode="auto">
                    <a:xfrm>
                      <a:off x="0" y="0"/>
                      <a:ext cx="2709022" cy="2641051"/>
                    </a:xfrm>
                    <a:prstGeom prst="rect">
                      <a:avLst/>
                    </a:prstGeom>
                    <a:noFill/>
                    <a:ln>
                      <a:noFill/>
                    </a:ln>
                    <a:extLst>
                      <a:ext uri="{53640926-AAD7-44D8-BBD7-CCE9431645EC}">
                        <a14:shadowObscured xmlns:a14="http://schemas.microsoft.com/office/drawing/2010/main"/>
                      </a:ext>
                    </a:extLst>
                  </pic:spPr>
                </pic:pic>
              </a:graphicData>
            </a:graphic>
          </wp:inline>
        </w:drawing>
      </w:r>
    </w:p>
    <w:p w14:paraId="454E48ED" w14:textId="11178F42" w:rsidR="00B51205" w:rsidRPr="00B51205" w:rsidRDefault="00B51205" w:rsidP="00B51205">
      <w:pPr>
        <w:jc w:val="both"/>
        <w:rPr>
          <w:rFonts w:asciiTheme="majorBidi" w:hAnsiTheme="majorBidi" w:cstheme="majorBidi"/>
        </w:rPr>
        <w:sectPr w:rsidR="00B51205" w:rsidRPr="00B51205" w:rsidSect="00B51205">
          <w:type w:val="continuous"/>
          <w:pgSz w:w="11907" w:h="16840" w:code="9"/>
          <w:pgMar w:top="1588" w:right="1134" w:bottom="1588" w:left="1134" w:header="680" w:footer="680" w:gutter="0"/>
          <w:cols w:num="2" w:space="720"/>
          <w:titlePg/>
          <w:docGrid w:linePitch="360"/>
        </w:sectPr>
      </w:pPr>
      <w:r w:rsidRPr="00B852AD">
        <w:rPr>
          <w:rFonts w:asciiTheme="majorBidi" w:hAnsiTheme="majorBidi" w:cstheme="majorBidi"/>
          <w:b/>
          <w:bCs/>
        </w:rPr>
        <w:t>Fig 6.</w:t>
      </w:r>
      <w:r w:rsidRPr="00B90ECC">
        <w:rPr>
          <w:rFonts w:asciiTheme="majorBidi" w:hAnsiTheme="majorBidi" w:cstheme="majorBidi"/>
        </w:rPr>
        <w:t xml:space="preserve"> Effects of Linagliptin on the T4 levels in rat serum. Values are means ± SD. Using one-way ANOVA followed by Tukey post-hoc test, (n = 9). ****p&lt;0.0001. MNZ: Mancozeb; Lina: Linagliptin</w:t>
      </w:r>
      <w:r>
        <w:rPr>
          <w:rFonts w:asciiTheme="majorBidi" w:hAnsiTheme="majorBidi" w:cstheme="majorBidi"/>
        </w:rPr>
        <w:t>.</w:t>
      </w:r>
    </w:p>
    <w:p w14:paraId="7B706EC3" w14:textId="117F4CF7" w:rsidR="00B51205" w:rsidRDefault="00B852AD" w:rsidP="00B51205">
      <w:pPr>
        <w:tabs>
          <w:tab w:val="left" w:pos="284"/>
        </w:tabs>
        <w:spacing w:before="240" w:after="0" w:line="240" w:lineRule="auto"/>
        <w:contextualSpacing/>
        <w:jc w:val="center"/>
        <w:outlineLvl w:val="0"/>
        <w:rPr>
          <w:rFonts w:asciiTheme="majorBidi" w:eastAsia="Arial" w:hAnsiTheme="majorBidi" w:cstheme="majorBidi"/>
          <w:b/>
          <w:spacing w:val="-4"/>
        </w:rPr>
      </w:pPr>
      <w:r w:rsidRPr="00B852AD">
        <w:rPr>
          <w:rFonts w:asciiTheme="majorBidi" w:eastAsia="Arial" w:hAnsiTheme="majorBidi" w:cstheme="majorBidi"/>
          <w:bCs/>
          <w:noProof/>
          <w:spacing w:val="-4"/>
          <w:sz w:val="24"/>
          <w:szCs w:val="24"/>
        </w:rPr>
        <w:drawing>
          <wp:inline distT="0" distB="0" distL="0" distR="0" wp14:anchorId="4DA53C75" wp14:editId="4F3DA6CB">
            <wp:extent cx="2936056" cy="3063711"/>
            <wp:effectExtent l="0" t="0" r="0" b="0"/>
            <wp:docPr id="194946029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38841" cy="3170965"/>
                    </a:xfrm>
                    <a:prstGeom prst="rect">
                      <a:avLst/>
                    </a:prstGeom>
                    <a:noFill/>
                    <a:ln>
                      <a:noFill/>
                    </a:ln>
                  </pic:spPr>
                </pic:pic>
              </a:graphicData>
            </a:graphic>
          </wp:inline>
        </w:drawing>
      </w:r>
    </w:p>
    <w:p w14:paraId="222709B4" w14:textId="7CE6ED82" w:rsidR="00B51205" w:rsidRDefault="001D0047" w:rsidP="001D0047">
      <w:pPr>
        <w:tabs>
          <w:tab w:val="left" w:pos="284"/>
        </w:tabs>
        <w:spacing w:before="240" w:after="0" w:line="240" w:lineRule="auto"/>
        <w:contextualSpacing/>
        <w:jc w:val="center"/>
        <w:outlineLvl w:val="0"/>
        <w:rPr>
          <w:rFonts w:asciiTheme="majorBidi" w:eastAsia="Arial" w:hAnsiTheme="majorBidi" w:cstheme="majorBidi"/>
          <w:bCs/>
          <w:spacing w:val="-4"/>
          <w:sz w:val="24"/>
          <w:szCs w:val="24"/>
        </w:rPr>
        <w:sectPr w:rsidR="00B51205" w:rsidSect="00B51205">
          <w:type w:val="continuous"/>
          <w:pgSz w:w="11907" w:h="16840" w:code="9"/>
          <w:pgMar w:top="1588" w:right="1134" w:bottom="1588" w:left="1134" w:header="680" w:footer="680" w:gutter="0"/>
          <w:cols w:num="2" w:space="720"/>
          <w:titlePg/>
          <w:docGrid w:linePitch="360"/>
        </w:sectPr>
      </w:pPr>
      <w:r w:rsidRPr="008D7106">
        <w:rPr>
          <w:rFonts w:ascii="Times New Roman" w:hAnsi="Times New Roman" w:cs="Times New Roman"/>
          <w:noProof/>
          <w:color w:val="000000" w:themeColor="text1"/>
          <w:spacing w:val="4"/>
        </w:rPr>
        <w:drawing>
          <wp:inline distT="0" distB="0" distL="0" distR="0" wp14:anchorId="423294CE" wp14:editId="1D7A71BE">
            <wp:extent cx="2007870" cy="2760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t="935" b="1388"/>
                    <a:stretch/>
                  </pic:blipFill>
                  <pic:spPr bwMode="auto">
                    <a:xfrm>
                      <a:off x="0" y="0"/>
                      <a:ext cx="2022293" cy="2780757"/>
                    </a:xfrm>
                    <a:prstGeom prst="rect">
                      <a:avLst/>
                    </a:prstGeom>
                    <a:noFill/>
                    <a:ln>
                      <a:noFill/>
                    </a:ln>
                    <a:extLst>
                      <a:ext uri="{53640926-AAD7-44D8-BBD7-CCE9431645EC}">
                        <a14:shadowObscured xmlns:a14="http://schemas.microsoft.com/office/drawing/2010/main"/>
                      </a:ext>
                    </a:extLst>
                  </pic:spPr>
                </pic:pic>
              </a:graphicData>
            </a:graphic>
          </wp:inline>
        </w:drawing>
      </w:r>
    </w:p>
    <w:p w14:paraId="4F9C1BBD" w14:textId="77777777" w:rsidR="001D0047" w:rsidRDefault="001D0047" w:rsidP="001D0047">
      <w:pPr>
        <w:tabs>
          <w:tab w:val="left" w:pos="284"/>
        </w:tabs>
        <w:spacing w:before="240" w:after="0" w:line="240" w:lineRule="auto"/>
        <w:contextualSpacing/>
        <w:jc w:val="both"/>
        <w:outlineLvl w:val="0"/>
        <w:rPr>
          <w:rFonts w:asciiTheme="majorBidi" w:eastAsia="Arial" w:hAnsiTheme="majorBidi" w:cstheme="majorBidi"/>
          <w:b/>
          <w:spacing w:val="-4"/>
        </w:rPr>
      </w:pPr>
    </w:p>
    <w:p w14:paraId="6B2B3498" w14:textId="77777777" w:rsidR="001D0047" w:rsidRDefault="001D0047" w:rsidP="001D0047">
      <w:pPr>
        <w:tabs>
          <w:tab w:val="left" w:pos="284"/>
        </w:tabs>
        <w:spacing w:before="240" w:after="0" w:line="240" w:lineRule="auto"/>
        <w:contextualSpacing/>
        <w:jc w:val="both"/>
        <w:outlineLvl w:val="0"/>
        <w:rPr>
          <w:rFonts w:asciiTheme="majorBidi" w:eastAsia="Arial" w:hAnsiTheme="majorBidi" w:cstheme="majorBidi"/>
          <w:b/>
          <w:spacing w:val="-4"/>
        </w:rPr>
      </w:pPr>
    </w:p>
    <w:p w14:paraId="7F527C1F" w14:textId="12DE09D0" w:rsidR="001D0047" w:rsidRPr="001D0047" w:rsidRDefault="00B51205" w:rsidP="001D0047">
      <w:pPr>
        <w:tabs>
          <w:tab w:val="left" w:pos="284"/>
        </w:tabs>
        <w:spacing w:before="240" w:after="0" w:line="240" w:lineRule="auto"/>
        <w:contextualSpacing/>
        <w:jc w:val="both"/>
        <w:outlineLvl w:val="0"/>
        <w:rPr>
          <w:rFonts w:ascii="Times New Roman" w:hAnsi="Times New Roman" w:cs="Times New Roman"/>
          <w:color w:val="000000" w:themeColor="text1"/>
          <w:spacing w:val="4"/>
          <w:sz w:val="24"/>
          <w:szCs w:val="24"/>
        </w:rPr>
      </w:pPr>
      <w:r w:rsidRPr="00E7498A">
        <w:rPr>
          <w:rFonts w:asciiTheme="majorBidi" w:eastAsia="Arial" w:hAnsiTheme="majorBidi" w:cstheme="majorBidi"/>
          <w:b/>
          <w:spacing w:val="-4"/>
        </w:rPr>
        <w:t>Fig. 7.</w:t>
      </w:r>
      <w:r w:rsidRPr="00E7498A">
        <w:rPr>
          <w:rFonts w:asciiTheme="majorBidi" w:eastAsia="Arial" w:hAnsiTheme="majorBidi" w:cstheme="majorBidi"/>
          <w:bCs/>
          <w:spacing w:val="-4"/>
        </w:rPr>
        <w:t xml:space="preserve"> Effects of Linagliptin on the TSH levels in rat serum. Values are means ± SD. Using one-way ANOVA followed by Tukey post-hoc test, (n = 9). ***p&lt;0.001. MNZ: Mancozeb; Lina: Linagliptin.</w:t>
      </w:r>
      <w:r>
        <w:rPr>
          <w:rFonts w:ascii="Times New Roman" w:hAnsi="Times New Roman" w:cs="Times New Roman"/>
          <w:color w:val="000000" w:themeColor="text1"/>
          <w:spacing w:val="4"/>
          <w:sz w:val="24"/>
          <w:szCs w:val="24"/>
        </w:rPr>
        <w:t xml:space="preserve"> </w:t>
      </w:r>
      <w:r w:rsidR="001D0047">
        <w:rPr>
          <w:rFonts w:ascii="Times New Roman" w:hAnsi="Times New Roman" w:cs="Times New Roman"/>
          <w:color w:val="000000" w:themeColor="text1"/>
          <w:spacing w:val="4"/>
          <w:sz w:val="24"/>
          <w:szCs w:val="24"/>
        </w:rPr>
        <w:br w:type="column"/>
      </w:r>
      <w:r w:rsidR="001D0047" w:rsidRPr="008D7106">
        <w:rPr>
          <w:rFonts w:ascii="Times New Roman" w:hAnsi="Times New Roman" w:cs="Times New Roman"/>
          <w:b/>
          <w:bCs/>
          <w:color w:val="000000" w:themeColor="text1"/>
          <w:spacing w:val="4"/>
        </w:rPr>
        <w:t>Fig. 8.</w:t>
      </w:r>
      <w:r w:rsidR="001D0047" w:rsidRPr="008D7106">
        <w:rPr>
          <w:rFonts w:ascii="Times New Roman" w:hAnsi="Times New Roman" w:cs="Times New Roman"/>
          <w:color w:val="000000" w:themeColor="text1"/>
          <w:spacing w:val="4"/>
        </w:rPr>
        <w:t xml:space="preserve"> Representative pictures of skin sections stained with hematoxylin and eosin (H&amp;E) examined under a microscope (magnification: ×400). Control Group (A), Lina (20 mg/kg) (B), MNZ Group: (C), Lina (0.5 mg/kg) + MNZ Group (D), Lina (10 mg/kg) + MNZ Group (E), Lina (20 mg/kg) + MNZ Group (F). Hyperplasia of follicular cells (black arrow) and hypertrophy of follicular cells (yellow arrow) are visible (E, D, C, &amp; F).</w:t>
      </w:r>
    </w:p>
    <w:p w14:paraId="550CD99A" w14:textId="77777777" w:rsidR="00B51205" w:rsidRDefault="00B51205" w:rsidP="00B51205">
      <w:pPr>
        <w:tabs>
          <w:tab w:val="left" w:pos="284"/>
        </w:tabs>
        <w:spacing w:before="240" w:after="0" w:line="240" w:lineRule="auto"/>
        <w:contextualSpacing/>
        <w:jc w:val="both"/>
        <w:outlineLvl w:val="0"/>
        <w:rPr>
          <w:rFonts w:ascii="Times New Roman" w:hAnsi="Times New Roman" w:cs="Times New Roman"/>
          <w:color w:val="000000" w:themeColor="text1"/>
          <w:spacing w:val="4"/>
          <w:sz w:val="24"/>
          <w:szCs w:val="24"/>
        </w:rPr>
      </w:pPr>
    </w:p>
    <w:p w14:paraId="43971DD8" w14:textId="26BE9AB6" w:rsidR="00B51205" w:rsidRDefault="00B51205" w:rsidP="00B51205">
      <w:pPr>
        <w:tabs>
          <w:tab w:val="left" w:pos="284"/>
        </w:tabs>
        <w:spacing w:before="240" w:after="0" w:line="240" w:lineRule="auto"/>
        <w:contextualSpacing/>
        <w:jc w:val="both"/>
        <w:outlineLvl w:val="0"/>
        <w:rPr>
          <w:rFonts w:ascii="Times New Roman" w:hAnsi="Times New Roman" w:cs="Times New Roman"/>
          <w:color w:val="000000" w:themeColor="text1"/>
          <w:spacing w:val="4"/>
          <w:sz w:val="24"/>
          <w:szCs w:val="24"/>
        </w:rPr>
        <w:sectPr w:rsidR="00B51205" w:rsidSect="004A75E8">
          <w:type w:val="continuous"/>
          <w:pgSz w:w="11907" w:h="16840" w:code="9"/>
          <w:pgMar w:top="1588" w:right="1134" w:bottom="1588" w:left="1134" w:header="680" w:footer="680" w:gutter="0"/>
          <w:cols w:num="2" w:space="720"/>
          <w:titlePg/>
          <w:docGrid w:linePitch="360"/>
        </w:sectPr>
      </w:pPr>
    </w:p>
    <w:p w14:paraId="76747EE7" w14:textId="0FE6F65C" w:rsidR="009752F6" w:rsidRPr="009752F6" w:rsidRDefault="009752F6" w:rsidP="009752F6">
      <w:pPr>
        <w:tabs>
          <w:tab w:val="left" w:pos="284"/>
        </w:tabs>
        <w:spacing w:before="240" w:after="0" w:line="240" w:lineRule="auto"/>
        <w:contextualSpacing/>
        <w:jc w:val="both"/>
        <w:outlineLvl w:val="0"/>
        <w:rPr>
          <w:rFonts w:ascii="Times New Roman" w:hAnsi="Times New Roman" w:cs="Times New Roman"/>
          <w:color w:val="000000" w:themeColor="text1"/>
          <w:spacing w:val="4"/>
          <w:sz w:val="12"/>
          <w:szCs w:val="12"/>
        </w:rPr>
        <w:sectPr w:rsidR="009752F6" w:rsidRPr="009752F6" w:rsidSect="00B852AD">
          <w:type w:val="continuous"/>
          <w:pgSz w:w="11907" w:h="16840" w:code="9"/>
          <w:pgMar w:top="1588" w:right="1134" w:bottom="1588" w:left="1134" w:header="680" w:footer="680" w:gutter="0"/>
          <w:cols w:space="720"/>
          <w:titlePg/>
          <w:docGrid w:linePitch="360"/>
        </w:sectPr>
      </w:pPr>
    </w:p>
    <w:p w14:paraId="3C331525" w14:textId="1447F4F2" w:rsidR="00DC4184" w:rsidRPr="007F2896" w:rsidRDefault="00DC4184" w:rsidP="00DC4184">
      <w:pPr>
        <w:tabs>
          <w:tab w:val="left" w:pos="284"/>
        </w:tabs>
        <w:spacing w:before="240" w:after="0" w:line="240" w:lineRule="auto"/>
        <w:contextualSpacing/>
        <w:jc w:val="both"/>
        <w:outlineLvl w:val="0"/>
        <w:rPr>
          <w:rFonts w:ascii="Times New Roman" w:hAnsi="Times New Roman" w:cs="Times New Roman"/>
          <w:b/>
          <w:bCs/>
          <w:color w:val="000000" w:themeColor="text1"/>
          <w:sz w:val="28"/>
          <w:szCs w:val="28"/>
        </w:rPr>
      </w:pPr>
      <w:r w:rsidRPr="007F2896">
        <w:rPr>
          <w:rFonts w:ascii="Times New Roman" w:hAnsi="Times New Roman" w:cs="Times New Roman"/>
          <w:b/>
          <w:bCs/>
          <w:color w:val="000000" w:themeColor="text1"/>
          <w:sz w:val="28"/>
          <w:szCs w:val="28"/>
        </w:rPr>
        <w:t>Discussion</w:t>
      </w:r>
    </w:p>
    <w:p w14:paraId="05A63FCC"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The present study examined the impact of MNZ and Lina on oxidative stress markers, thyroid hormone levels, and thyroid tissue morphology, providing insights into their mechanisms of action and potential protective roles.</w:t>
      </w:r>
    </w:p>
    <w:p w14:paraId="55EA25E3" w14:textId="738DA8B9" w:rsidR="008D7106" w:rsidRPr="008D7106" w:rsidRDefault="008D7106" w:rsidP="001D0047">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The present findings demonstrate that MNZ significantly reduces CAT activity and total thiol content, alongside a decrease in SOD activity, confirming the induction of oxidative stress in thyroid tissue. The diminished activity of these critical antioxidant enzymes, which play essential roles in neutralizing reactive oxygen species (ROS), highlights an increased oxidative burden. Such oxidative stress is consistent with previous studies emphasizing the pivotal role of oxidative stress, characterized by elevated ROS, in mediating tissue damage in thyroid disorders. The reduction in thiol levels, a key component of cellular antioxidant defense, further substantiates the presence of oxidative stress and impaired redox homeostasis, consistent with findings from other research on thyroid pathology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&lt;EndNote&gt;&lt;Cite&gt;&lt;Author&gt;Macvanin&lt;/Author&gt;&lt;Year&gt;2023&lt;/Year&gt;&lt;RecNum&gt;2&lt;/RecNum&gt;&lt;DisplayText&gt;(2, 3)&lt;/DisplayText&gt;&lt;record&gt;&lt;rec-number&gt;2&lt;/rec-number&gt;&lt;foreign-keys&gt;&lt;key app="EN" db-id="0xx9ad9t8ft2a4ev0z1p0vatrvsp922datr9" timestamp="1752341523"&gt;2&lt;/key&gt;&lt;/foreign-keys&gt;&lt;ref-type name="Journal Article"&gt;17&lt;/ref-type&gt;&lt;contributors&gt;&lt;authors&gt;&lt;author&gt;Macvanin, Mirjana T&lt;/author&gt;&lt;author&gt;Gluvic, Zoran&lt;/author&gt;&lt;author&gt;Zafirovic, Sonja&lt;/author&gt;&lt;author&gt;Gao, Xin&lt;/author&gt;&lt;author&gt;Essack, Magbubah&lt;/author&gt;&lt;author&gt;Isenovic, Esma R&lt;/author&gt;&lt;/authors&gt;&lt;/contributors&gt;&lt;titles&gt;&lt;title&gt;The protective role of nutritional antioxidants against oxidative stress in thyroid disorders&lt;/title&gt;&lt;secondary-title&gt;Frontiers in endocrinology&lt;/secondary-title&gt;&lt;/titles&gt;&lt;periodical&gt;&lt;full-title&gt;Frontiers in endocrinology&lt;/full-title&gt;&lt;/periodical&gt;&lt;pages&gt;1092837&lt;/pages&gt;&lt;volume&gt;13&lt;/volume&gt;&lt;dates&gt;&lt;year&gt;2023&lt;/year&gt;&lt;/dates&gt;&lt;isbn&gt;1664-2392&lt;/isbn&gt;&lt;urls&gt;&lt;/urls&gt;&lt;/record&gt;&lt;/Cite&gt;&lt;Cite&gt;&lt;Author&gt;Kochman&lt;/Author&gt;&lt;Year&gt;2021&lt;/Year&gt;&lt;RecNum&gt;3&lt;/RecNum&gt;&lt;record&gt;&lt;rec-number&gt;3&lt;/rec-number&gt;&lt;foreign-keys&gt;&lt;key app="EN" db-id="0xx9ad9t8ft2a4ev0z1p0vatrvsp922datr9" timestamp="1752341562"&gt;3&lt;/key&gt;&lt;/foreign-keys&gt;&lt;ref-type name="Generic"&gt;13&lt;/ref-type&gt;&lt;contributors&gt;&lt;authors&gt;&lt;author&gt;Kochman, J&lt;/author&gt;&lt;author&gt;Jakubczyk, K&lt;/author&gt;&lt;author&gt;Bargiel, P&lt;/author&gt;&lt;author&gt;Janda-Milczarek, K&lt;/author&gt;&lt;/authors&gt;&lt;/contributors&gt;&lt;titles&gt;&lt;title&gt;The influence of oxidative stress on thyroid diseases. Antioxidants 2021 10 1442&lt;/title&gt;&lt;/titles&gt;&lt;dates&gt;&lt;year&gt;2021&lt;/year&gt;&lt;/dates&gt;&lt;publisher&gt;s Note: MDPI stays neu-tral with regard to jurisdictional claims in …&lt;/publisher&gt;&lt;urls&gt;&lt;/urls&gt;&lt;/record&gt;&lt;/Cite&gt;&lt;/EndNote&gt;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(2, 3)</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Furthermore, ROS exhibit marked reactivity toward various macromolecules, including proteins, DNA, and lipids. The oxidation of polyunsaturated fatty acids leads to the generation of multiple aldehydes with varying carbon chain lengths, such as MDA. Although we did not specifically measure ROS levels in our study, we assessed oxidative stress indirectly by measuring lipid peroxidation, a well</w:t>
      </w:r>
      <w:r w:rsidR="009752F6">
        <w:rPr>
          <w:rFonts w:asciiTheme="majorBidi" w:eastAsia="Arial" w:hAnsiTheme="majorBidi" w:cstheme="majorBidi"/>
          <w:bCs/>
          <w:sz w:val="24"/>
          <w:szCs w:val="24"/>
        </w:rPr>
        <w:t>-</w:t>
      </w:r>
      <w:r w:rsidRPr="008D7106">
        <w:rPr>
          <w:rFonts w:asciiTheme="majorBidi" w:eastAsia="Arial" w:hAnsiTheme="majorBidi" w:cstheme="majorBidi"/>
          <w:bCs/>
          <w:sz w:val="24"/>
          <w:szCs w:val="24"/>
        </w:rPr>
        <w:t xml:space="preserve">established marker of oxidative damage </w:t>
      </w:r>
      <w:r w:rsidRPr="008D7106">
        <w:rPr>
          <w:rFonts w:asciiTheme="majorBidi" w:eastAsia="Arial" w:hAnsiTheme="majorBidi" w:cstheme="majorBidi"/>
          <w:bCs/>
          <w:sz w:val="24"/>
          <w:szCs w:val="24"/>
        </w:rPr>
        <w:fldChar w:fldCharType="begin">
          <w:fldData xml:space="preserve">PEVuZE5vdGU+PENpdGU+PEF1dGhvcj5TaGFyaWF0aTwvQXV0aG9yPjxZZWFyPjIwMjQ8L1llYXI+
PFJlY051bT4xNzwvUmVjTnVtPjxEaXNwbGF5VGV4dD4oMTksIDIwKTwvRGlzcGxheVRleHQ+PHJl
Y29yZD48cmVjLW51bWJlcj4xNzwvcmVjLW51bWJlcj48Zm9yZWlnbi1rZXlzPjxrZXkgYXBwPSJF
TiIgZGItaWQ9IjB4eDlhZDl0OGZ0MmE0ZXYwejFwMHZhdHJ2c3A5MjJkYXRyOSIgdGltZXN0YW1w
PSIxNzUyMzQxODY2Ij4xNzwva2V5PjwvZm9yZWlnbi1rZXlzPjxyZWYtdHlwZSBuYW1lPSJKb3Vy
bmFsIEFydGljbGUiPjE3PC9yZWYtdHlwZT48Y29udHJpYnV0b3JzPjxhdXRob3JzPjxhdXRob3I+
U2hhcmlhdGksIFNhZWVkZWg8L2F1dGhvcj48YXV0aG9yPktob2RheWFyLCBNb2hhbW1hZCBKYXZh
ZDwvYXV0aG9yPjxhdXRob3I+QXphZG5hc2FiLCBSZXphPC9hdXRob3I+PGF1dGhvcj5Ob29zaGFi
YWRpLCBNb2hhbW1hZHJlemEgUmFzaGlkaTwvYXV0aG9yPjxhdXRob3I+TmlrcmF2ZXNoLCBNZWhy
YWQ8L2F1dGhvcj48YXV0aG9yPktob3JzYW5kaSwgTGF5YXNhZGF0PC9hdXRob3I+PGF1dGhvcj5T
aGlyYW5pLCBLb2JyYTwvYXV0aG9yPjxhdXRob3I+U2hpcmFuaSwgTWFyeWFtPC9hdXRob3I+PC9h
dXRob3JzPjwvY29udHJpYnV0b3JzPjx0aXRsZXM+PHRpdGxlPkVwaWNhdGVjaGluIGFzIGEgcHJv
bWlzaW5nIGFnZW50IGFnYWluc3QgYXJzZW5pYy1pbmR1Y2VkIG5ldXJvYmVoYXZpb3JhbCB0b3hp
Y2l0eSBpbiBOTVJJIG1pY2U6IGJlaGF2aW9yYWwgYW5kIGJpb2NoZW1pY2FsIGFsdGVyYXRpb25z
PC90aXRsZT48c2Vjb25kYXJ5LXRpdGxlPk5hdW55bi1TY2htaWVkZWJlcmcmYXBvcztzIEFyY2hp
dmVzIG9mIFBoYXJtYWNvbG9neTwvc2Vjb25kYXJ5LXRpdGxlPjwvdGl0bGVzPjxwZXJpb2RpY2Fs
PjxmdWxsLXRpdGxlPk5hdW55bi1TY2htaWVkZWJlcmcmYXBvcztzIEFyY2hpdmVzIG9mIFBoYXJt
YWNvbG9neTwvZnVsbC10aXRsZT48L3BlcmlvZGljYWw+PHBhZ2VzPjEwMTQzLTEwMTUzPC9wYWdl
cz48dm9sdW1lPjM5Nzwvdm9sdW1lPjxudW1iZXI+MTI8L251bWJlcj48ZGF0ZXM+PHllYXI+MjAy
NDwveWVhcj48L2RhdGVzPjxpc2JuPjAwMjgtMTI5ODwvaXNibj48dXJscz48L3VybHM+PC9yZWNv
cmQ+PC9DaXRlPjxDaXRlPjxBdXRob3I+U2hhcmlhdGk8L0F1dGhvcj48WWVhcj4yMDI1PC9ZZWFy
PjxSZWNOdW0+MTMwODwvUmVjTnVtPjxyZWNvcmQ+PHJlYy1udW1iZXI+MTMwODwvcmVjLW51bWJl
cj48Zm9yZWlnbi1rZXlzPjxrZXkgYXBwPSJFTiIgZGItaWQ9InNkMjAydnZleXJhc3B5ZXR6emk1
ZHN3ejV3d3J2MHB3OWF2YSIgdGltZXN0YW1wPSIxNzU1NDEwMzQyIj4xMzA4PC9rZXk+PC9mb3Jl
aWduLWtleXM+PHJlZi10eXBlIG5hbWU9IkpvdXJuYWwgQXJ0aWNsZSI+MTc8L3JlZi10eXBlPjxj
b250cmlidXRvcnM+PGF1dGhvcnM+PGF1dGhvcj5TaGFyaWF0aSwgU2FlZWRlaDwvYXV0aG9yPjxh
dXRob3I+S2hvZGF5YXIsIE1vaGFtbWFkIEphdmFkPC9hdXRob3I+PGF1dGhvcj5BemFkbmFzYWIs
IFJlemE8L2F1dGhvcj48YXV0aG9yPk1vZ2h0YWRhZWksIE5hcmplczwvYXV0aG9yPjxhdXRob3I+
S2hvcnNhbmRpLCBMYXlhc2FkYXQ8L2F1dGhvcj48YXV0aG9yPlNoaXJhbmksIE1hcnlhbTwvYXV0
aG9yPjwvYXV0aG9ycz48L2NvbnRyaWJ1dG9ycz48YXV0aC1hZGRyZXNzPlRveGljb2xvZ3kgUmVz
ZWFyY2ggQ2VudGVyLCBNZWRpY2FsIEJhc2ljIFNjaWVuY2VzIFJlc2VhcmNoIEluc3RpdHV0ZSwg
QWh2YXogSnVuZGlzaGFwdXIgVW5pdmVyc2l0eSBvZiBNZWRpY2FsIFNjaWVuY2VzLCBBaHZheiwg
SXJhbi48L2F1dGgtYWRkcmVzcz48dGl0bGVzPjx0aXRsZT5Qcm90ZWN0aXZlIEVmZmVjdHMgb2Yg
VmFuaWxsaWMgQWNpZCBvbiBBcnNlbmljLUluZHVjZWQgSGVwYXRvdG94aWNpdHkgYW5kIERpYWJl
dGVzIGluIE1pY2U7IHRoZSBSb2xlIG9mIFBQQVLOsyBhbmQgTkYtzrpCIFNpZ25hbGluZyAlSiBS
ZXBvcnRzIG9mIEJpb2NoZW1pc3RyeSBhbmQgTW9sZWN1bGFyIEJpb2xvZ3k8L3RpdGxlPjxzaG9y
dC10aXRsZT5WYW5pbGxpYyBBY2lkJmFwb3M7cyBpbiBBcnNlbmljLUluZHVjZWQgTGl2ZXIgVG94
aWNpdHk8L3Nob3J0LXRpdGxlPjwvdGl0bGVzPjxwYWdlcz41NDktNTYwPC9wYWdlcz48dm9sdW1l
PjEzPC92b2x1bWU+PG51bWJlcj40PC9udW1iZXI+PHNlY3Rpb24+NTQ5PC9zZWN0aW9uPjxrZXl3
b3Jkcz48a2V5d29yZD5BcnNlbmljLCBEaWFiZXRlcyBNZWxsaXR1cywgTGl2ZXIgSW5qdXJ5LCBW
YW5pbGxpYyBhY2lkLjwva2V5d29yZD48L2tleXdvcmRzPjxkYXRlcz48eWVhcj4yMDI1PC95ZWFy
PjwvZGF0ZXM+PGlzYm4+MjMyMi0zNDgwPC9pc2JuPjxjYWxsLW51bT5BLTEwLTE2MzYtMTwvY2Fs
bC1udW0+PHdvcmstdHlwZT5PcmlnaW5hbCBBcnRpY2xlPC93b3JrLXR5cGU+PHVybHM+PHJlbGF0
ZWQtdXJscz48dXJsPmh0dHA6Ly9yYm1iLm5ldC9hcnRpY2xlLTEtMTUwMS1lbi5odG1sPC91cmw+
PC9yZWxhdGVkLXVybHM+PHBkZi11cmxzPjx1cmw+aHR0cDovL3JibWIubmV0L2FydGljbGUtMS0x
NTAxLWVuLnBkZjwvdXJsPjwvcGRmLXVybHM+PC91cmxzPjxsYW5ndWFnZT5lbmc8L2xhbmd1YWdl
PjxhY2Nlc3MtZGF0ZT4yMDI1PC9hY2Nlc3MtZGF0ZT48L3JlY29yZD48L0NpdGU+PC9FbmROb3Rl
Pn==
</w:fldData>
        </w:fldChar>
      </w:r>
      <w:r w:rsidRPr="008D7106">
        <w:rPr>
          <w:rFonts w:asciiTheme="majorBidi" w:eastAsia="Arial" w:hAnsiTheme="majorBidi" w:cstheme="majorBidi"/>
          <w:bCs/>
          <w:sz w:val="24"/>
          <w:szCs w:val="24"/>
        </w:rPr>
        <w:instrText xml:space="preserve"> ADDIN EN.CITE </w:instrText>
      </w:r>
      <w:r w:rsidRPr="008D7106">
        <w:rPr>
          <w:rFonts w:asciiTheme="majorBidi" w:eastAsia="Arial" w:hAnsiTheme="majorBidi" w:cstheme="majorBidi"/>
          <w:bCs/>
          <w:sz w:val="24"/>
          <w:szCs w:val="24"/>
        </w:rPr>
        <w:fldChar w:fldCharType="begin">
          <w:fldData xml:space="preserve">PEVuZE5vdGU+PENpdGU+PEF1dGhvcj5TaGFyaWF0aTwvQXV0aG9yPjxZZWFyPjIwMjQ8L1llYXI+
PFJlY051bT4xNzwvUmVjTnVtPjxEaXNwbGF5VGV4dD4oMTksIDIwKTwvRGlzcGxheVRleHQ+PHJl
Y29yZD48cmVjLW51bWJlcj4xNzwvcmVjLW51bWJlcj48Zm9yZWlnbi1rZXlzPjxrZXkgYXBwPSJF
TiIgZGItaWQ9IjB4eDlhZDl0OGZ0MmE0ZXYwejFwMHZhdHJ2c3A5MjJkYXRyOSIgdGltZXN0YW1w
PSIxNzUyMzQxODY2Ij4xNzwva2V5PjwvZm9yZWlnbi1rZXlzPjxyZWYtdHlwZSBuYW1lPSJKb3Vy
bmFsIEFydGljbGUiPjE3PC9yZWYtdHlwZT48Y29udHJpYnV0b3JzPjxhdXRob3JzPjxhdXRob3I+
U2hhcmlhdGksIFNhZWVkZWg8L2F1dGhvcj48YXV0aG9yPktob2RheWFyLCBNb2hhbW1hZCBKYXZh
ZDwvYXV0aG9yPjxhdXRob3I+QXphZG5hc2FiLCBSZXphPC9hdXRob3I+PGF1dGhvcj5Ob29zaGFi
YWRpLCBNb2hhbW1hZHJlemEgUmFzaGlkaTwvYXV0aG9yPjxhdXRob3I+TmlrcmF2ZXNoLCBNZWhy
YWQ8L2F1dGhvcj48YXV0aG9yPktob3JzYW5kaSwgTGF5YXNhZGF0PC9hdXRob3I+PGF1dGhvcj5T
aGlyYW5pLCBLb2JyYTwvYXV0aG9yPjxhdXRob3I+U2hpcmFuaSwgTWFyeWFtPC9hdXRob3I+PC9h
dXRob3JzPjwvY29udHJpYnV0b3JzPjx0aXRsZXM+PHRpdGxlPkVwaWNhdGVjaGluIGFzIGEgcHJv
bWlzaW5nIGFnZW50IGFnYWluc3QgYXJzZW5pYy1pbmR1Y2VkIG5ldXJvYmVoYXZpb3JhbCB0b3hp
Y2l0eSBpbiBOTVJJIG1pY2U6IGJlaGF2aW9yYWwgYW5kIGJpb2NoZW1pY2FsIGFsdGVyYXRpb25z
PC90aXRsZT48c2Vjb25kYXJ5LXRpdGxlPk5hdW55bi1TY2htaWVkZWJlcmcmYXBvcztzIEFyY2hp
dmVzIG9mIFBoYXJtYWNvbG9neTwvc2Vjb25kYXJ5LXRpdGxlPjwvdGl0bGVzPjxwZXJpb2RpY2Fs
PjxmdWxsLXRpdGxlPk5hdW55bi1TY2htaWVkZWJlcmcmYXBvcztzIEFyY2hpdmVzIG9mIFBoYXJt
YWNvbG9neTwvZnVsbC10aXRsZT48L3BlcmlvZGljYWw+PHBhZ2VzPjEwMTQzLTEwMTUzPC9wYWdl
cz48dm9sdW1lPjM5Nzwvdm9sdW1lPjxudW1iZXI+MTI8L251bWJlcj48ZGF0ZXM+PHllYXI+MjAy
NDwveWVhcj48L2RhdGVzPjxpc2JuPjAwMjgtMTI5ODwvaXNibj48dXJscz48L3VybHM+PC9yZWNv
cmQ+PC9DaXRlPjxDaXRlPjxBdXRob3I+U2hhcmlhdGk8L0F1dGhvcj48WWVhcj4yMDI1PC9ZZWFy
PjxSZWNOdW0+MTMwODwvUmVjTnVtPjxyZWNvcmQ+PHJlYy1udW1iZXI+MTMwODwvcmVjLW51bWJl
cj48Zm9yZWlnbi1rZXlzPjxrZXkgYXBwPSJFTiIgZGItaWQ9InNkMjAydnZleXJhc3B5ZXR6emk1
ZHN3ejV3d3J2MHB3OWF2YSIgdGltZXN0YW1wPSIxNzU1NDEwMzQyIj4xMzA4PC9rZXk+PC9mb3Jl
aWduLWtleXM+PHJlZi10eXBlIG5hbWU9IkpvdXJuYWwgQXJ0aWNsZSI+MTc8L3JlZi10eXBlPjxj
b250cmlidXRvcnM+PGF1dGhvcnM+PGF1dGhvcj5TaGFyaWF0aSwgU2FlZWRlaDwvYXV0aG9yPjxh
dXRob3I+S2hvZGF5YXIsIE1vaGFtbWFkIEphdmFkPC9hdXRob3I+PGF1dGhvcj5BemFkbmFzYWIs
IFJlemE8L2F1dGhvcj48YXV0aG9yPk1vZ2h0YWRhZWksIE5hcmplczwvYXV0aG9yPjxhdXRob3I+
S2hvcnNhbmRpLCBMYXlhc2FkYXQ8L2F1dGhvcj48YXV0aG9yPlNoaXJhbmksIE1hcnlhbTwvYXV0
aG9yPjwvYXV0aG9ycz48L2NvbnRyaWJ1dG9ycz48YXV0aC1hZGRyZXNzPlRveGljb2xvZ3kgUmVz
ZWFyY2ggQ2VudGVyLCBNZWRpY2FsIEJhc2ljIFNjaWVuY2VzIFJlc2VhcmNoIEluc3RpdHV0ZSwg
QWh2YXogSnVuZGlzaGFwdXIgVW5pdmVyc2l0eSBvZiBNZWRpY2FsIFNjaWVuY2VzLCBBaHZheiwg
SXJhbi48L2F1dGgtYWRkcmVzcz48dGl0bGVzPjx0aXRsZT5Qcm90ZWN0aXZlIEVmZmVjdHMgb2Yg
VmFuaWxsaWMgQWNpZCBvbiBBcnNlbmljLUluZHVjZWQgSGVwYXRvdG94aWNpdHkgYW5kIERpYWJl
dGVzIGluIE1pY2U7IHRoZSBSb2xlIG9mIFBQQVLOsyBhbmQgTkYtzrpCIFNpZ25hbGluZyAlSiBS
ZXBvcnRzIG9mIEJpb2NoZW1pc3RyeSBhbmQgTW9sZWN1bGFyIEJpb2xvZ3k8L3RpdGxlPjxzaG9y
dC10aXRsZT5WYW5pbGxpYyBBY2lkJmFwb3M7cyBpbiBBcnNlbmljLUluZHVjZWQgTGl2ZXIgVG94
aWNpdHk8L3Nob3J0LXRpdGxlPjwvdGl0bGVzPjxwYWdlcz41NDktNTYwPC9wYWdlcz48dm9sdW1l
PjEzPC92b2x1bWU+PG51bWJlcj40PC9udW1iZXI+PHNlY3Rpb24+NTQ5PC9zZWN0aW9uPjxrZXl3
b3Jkcz48a2V5d29yZD5BcnNlbmljLCBEaWFiZXRlcyBNZWxsaXR1cywgTGl2ZXIgSW5qdXJ5LCBW
YW5pbGxpYyBhY2lkLjwva2V5d29yZD48L2tleXdvcmRzPjxkYXRlcz48eWVhcj4yMDI1PC95ZWFy
PjwvZGF0ZXM+PGlzYm4+MjMyMi0zNDgwPC9pc2JuPjxjYWxsLW51bT5BLTEwLTE2MzYtMTwvY2Fs
bC1udW0+PHdvcmstdHlwZT5PcmlnaW5hbCBBcnRpY2xlPC93b3JrLXR5cGU+PHVybHM+PHJlbGF0
ZWQtdXJscz48dXJsPmh0dHA6Ly9yYm1iLm5ldC9hcnRpY2xlLTEtMTUwMS1lbi5odG1sPC91cmw+
PC9yZWxhdGVkLXVybHM+PHBkZi11cmxzPjx1cmw+aHR0cDovL3JibWIubmV0L2FydGljbGUtMS0x
NTAxLWVuLnBkZjwvdXJsPjwvcGRmLXVybHM+PC91cmxzPjxsYW5ndWFnZT5lbmc8L2xhbmd1YWdl
PjxhY2Nlc3MtZGF0ZT4yMDI1PC9hY2Nlc3MtZGF0ZT48L3JlY29yZD48L0NpdGU+PC9FbmROb3Rl
Pn==
</w:fldData>
        </w:fldChar>
      </w:r>
      <w:r w:rsidRPr="008D7106">
        <w:rPr>
          <w:rFonts w:asciiTheme="majorBidi" w:eastAsia="Arial" w:hAnsiTheme="majorBidi" w:cstheme="majorBidi"/>
          <w:bCs/>
          <w:sz w:val="24"/>
          <w:szCs w:val="24"/>
        </w:rPr>
        <w:instrText xml:space="preserve"> ADDIN EN.CITE.DATA </w:instrText>
      </w:r>
      <w:r w:rsidRPr="008D7106">
        <w:rPr>
          <w:rFonts w:asciiTheme="majorBidi" w:eastAsia="Arial" w:hAnsiTheme="majorBidi" w:cstheme="majorBidi"/>
          <w:bCs/>
          <w:sz w:val="24"/>
          <w:szCs w:val="24"/>
        </w:rPr>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(19, 20)</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xml:space="preserve">. </w:t>
      </w:r>
    </w:p>
    <w:p w14:paraId="77C8F160" w14:textId="77777777" w:rsidR="001D0047"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Interestingly, co-administration of Lina at higher doses (20 mg/kg) significantly restored CAT activity and elevated SOD levels, underscoring its potential antioxidant properties. This aligns with </w:t>
      </w:r>
      <w:r w:rsidRPr="008D7106">
        <w:rPr>
          <w:rFonts w:asciiTheme="majorBidi" w:eastAsia="Arial" w:hAnsiTheme="majorBidi" w:cstheme="majorBidi"/>
          <w:bCs/>
          <w:i/>
          <w:iCs/>
          <w:sz w:val="24"/>
          <w:szCs w:val="24"/>
        </w:rPr>
        <w:t>in vitro</w:t>
      </w:r>
      <w:r w:rsidRPr="008D7106">
        <w:rPr>
          <w:rFonts w:asciiTheme="majorBidi" w:eastAsia="Arial" w:hAnsiTheme="majorBidi" w:cstheme="majorBidi"/>
          <w:bCs/>
          <w:sz w:val="24"/>
          <w:szCs w:val="24"/>
        </w:rPr>
        <w:t xml:space="preserve"> and </w:t>
      </w:r>
      <w:r w:rsidRPr="008D7106">
        <w:rPr>
          <w:rFonts w:asciiTheme="majorBidi" w:eastAsia="Arial" w:hAnsiTheme="majorBidi" w:cstheme="majorBidi"/>
          <w:bCs/>
          <w:i/>
          <w:iCs/>
          <w:sz w:val="24"/>
          <w:szCs w:val="24"/>
        </w:rPr>
        <w:t>in vivo</w:t>
      </w:r>
      <w:r w:rsidRPr="008D7106">
        <w:rPr>
          <w:rFonts w:asciiTheme="majorBidi" w:eastAsia="Arial" w:hAnsiTheme="majorBidi" w:cstheme="majorBidi"/>
          <w:bCs/>
          <w:sz w:val="24"/>
          <w:szCs w:val="24"/>
        </w:rPr>
        <w:t xml:space="preserve"> experimental studies showing that dipeptidyl peptidase-4 inhibitors (DPP4i), including Lina, confer protection against oxidative stress. For instance, Lina has been shown to inhibit ROS production and reduce </w:t>
      </w:r>
    </w:p>
    <w:p w14:paraId="3AD9FBD7" w14:textId="77777777" w:rsidR="001D0047" w:rsidRDefault="001D0047"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p>
    <w:p w14:paraId="12BC58D3" w14:textId="72E0F312" w:rsidR="008D7106" w:rsidRPr="008D7106" w:rsidRDefault="008D7106" w:rsidP="001D0047">
      <w:pPr>
        <w:tabs>
          <w:tab w:val="left" w:pos="284"/>
        </w:tabs>
        <w:spacing w:after="0" w:line="240" w:lineRule="auto"/>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inflammation triggered by advanced glycation end products (AGEs) in endothelial and tubular cells, effectively preventing the progression of diabetic renal injury in rat models </w:t>
      </w:r>
      <w:r w:rsidRPr="008D7106">
        <w:rPr>
          <w:rFonts w:asciiTheme="majorBidi" w:eastAsia="Arial" w:hAnsiTheme="majorBidi" w:cstheme="majorBidi"/>
          <w:bCs/>
          <w:sz w:val="24"/>
          <w:szCs w:val="24"/>
        </w:rPr>
        <w:fldChar w:fldCharType="begin">
          <w:fldData xml:space="preserve">PEVuZE5vdGU+PENpdGU+PEF1dGhvcj5LYWlmdTwvQXV0aG9yPjxZZWFyPjIwMTg8L1llYXI+PFJl
Y051bT4xODwvUmVjTnVtPjxEaXNwbGF5VGV4dD4oMjEsIDIyKTwvRGlzcGxheVRleHQ+PHJlY29y
ZD48cmVjLW51bWJlcj4xODwvcmVjLW51bWJlcj48Zm9yZWlnbi1rZXlzPjxrZXkgYXBwPSJFTiIg
ZGItaWQ9IjB4eDlhZDl0OGZ0MmE0ZXYwejFwMHZhdHJ2c3A5MjJkYXRyOSIgdGltZXN0YW1wPSIx
NzUyMzQxODg4Ij4xODwva2V5PjwvZm9yZWlnbi1rZXlzPjxyZWYtdHlwZSBuYW1lPSJKb3VybmFs
IEFydGljbGUiPjE3PC9yZWYtdHlwZT48Y29udHJpYnV0b3JzPjxhdXRob3JzPjxhdXRob3I+S2Fp
ZnUsIEt1bWlrbzwvYXV0aG9yPjxhdXRob3I+VWVkYSwgU2Vpamk8L2F1dGhvcj48YXV0aG9yPk5h
a2FtdXJhLCBOb2J1dGFrYTwvYXV0aG9yPjxhdXRob3I+TWF0c3VpLCBUYWthbm9yaTwvYXV0aG9y
PjxhdXRob3I+WWFtYWRhLU9iYXJhLCBOYW5hPC9hdXRob3I+PGF1dGhvcj5BbmRvLCBSeW90YXJv
PC9hdXRob3I+PGF1dGhvcj5LYWlkYSwgWXVzdWtlPC9hdXRob3I+PGF1dGhvcj5OYWthdGEsIE1h
c2FtaTwvYXV0aG9yPjxhdXRob3I+TWF0c3VrdW1hLVRveW9uYWdhLCBNYWtpPC9hdXRob3I+PGF1
dGhvcj5IaWdhc2hpbW90bywgWXVpY2hpcm88L2F1dGhvcj48L2F1dGhvcnM+PC9jb250cmlidXRv
cnM+PHRpdGxlcz48dGl0bGU+QWR2YW5jZWQgZ2x5Y2F0aW9uIGVuZCBwcm9kdWN0cyBldm9rZSBp
bmZsYW1tYXRvcnkgcmVhY3Rpb25zIGluIHByb3hpbWFsIHR1YnVsYXIgY2VsbHMgdmlhIGF1dG9j
cmluZSBwcm9kdWN0aW9uIG9mIGRpcGVwdGlkeWwgcGVwdGlkYXNlLTQ8L3RpdGxlPjxzZWNvbmRh
cnktdGl0bGU+TWljcm92YXNjdWxhciBSZXNlYXJjaDwvc2Vjb25kYXJ5LXRpdGxlPjwvdGl0bGVz
PjxwZXJpb2RpY2FsPjxmdWxsLXRpdGxlPk1pY3JvdmFzY3VsYXIgUmVzZWFyY2g8L2Z1bGwtdGl0
bGU+PC9wZXJpb2RpY2FsPjxwYWdlcz45MC05MzwvcGFnZXM+PHZvbHVtZT4xMjA8L3ZvbHVtZT48
ZGF0ZXM+PHllYXI+MjAxODwveWVhcj48L2RhdGVzPjxpc2JuPjAwMjYtMjg2MjwvaXNibj48dXJs
cz48L3VybHM+PC9yZWNvcmQ+PC9DaXRlPjxDaXRlPjxBdXRob3I+SXNoaWJhc2hpPC9BdXRob3I+
PFllYXI+MjAxMzwvWWVhcj48UmVjTnVtPjE5PC9SZWNOdW0+PHJlY29yZD48cmVjLW51bWJlcj4x
OTwvcmVjLW51bWJlcj48Zm9yZWlnbi1rZXlzPjxrZXkgYXBwPSJFTiIgZGItaWQ9IjB4eDlhZDl0
OGZ0MmE0ZXYwejFwMHZhdHJ2c3A5MjJkYXRyOSIgdGltZXN0YW1wPSIxNzUyMzQxOTEwIj4xOTwv
a2V5PjwvZm9yZWlnbi1rZXlzPjxyZWYtdHlwZSBuYW1lPSJKb3VybmFsIEFydGljbGUiPjE3PC9y
ZWYtdHlwZT48Y29udHJpYnV0b3JzPjxhdXRob3JzPjxhdXRob3I+SXNoaWJhc2hpLCBZdWppPC9h
dXRob3I+PGF1dGhvcj5NYXRzdWksIFRha2Fub3JpPC9hdXRob3I+PGF1dGhvcj5NYWVkYSwgU2F5
YWthPC9hdXRob3I+PGF1dGhvcj5IaWdhc2hpbW90bywgWXVpY2hpcm88L2F1dGhvcj48YXV0aG9y
PllhbWFnaXNoaSwgU2hvLWljaGk8L2F1dGhvcj48L2F1dGhvcnM+PC9jb250cmlidXRvcnM+PHRp
dGxlcz48dGl0bGU+QWR2YW5jZWQgZ2x5Y2F0aW9uIGVuZCBwcm9kdWN0cyBldm9rZSBlbmRvdGhl
bGlhbCBjZWxsIGRhbWFnZSBieSBzdGltdWxhdGluZyBzb2x1YmxlIGRpcGVwdGlkeWwgcGVwdGlk
YXNlLTQgcHJvZHVjdGlvbiBhbmQgaXRzIGludGVyYWN0aW9uIHdpdGggbWFubm9zZSA2LXBob3Nw
aGF0ZS9pbnN1bGluLWxpa2UgZ3Jvd3RoIGZhY3RvciBJSSByZWNlcHRvcjwvdGl0bGU+PHNlY29u
ZGFyeS10aXRsZT5DYXJkaW92YXNjdWxhciBkaWFiZXRvbG9neTwvc2Vjb25kYXJ5LXRpdGxlPjwv
dGl0bGVzPjxwZXJpb2RpY2FsPjxmdWxsLXRpdGxlPkNhcmRpb3Zhc2N1bGFyIGRpYWJldG9sb2d5
PC9mdWxsLXRpdGxlPjwvcGVyaW9kaWNhbD48cGFnZXM+MTI1PC9wYWdlcz48dm9sdW1lPjEyPC92
b2x1bWU+PG51bWJlcj4xPC9udW1iZXI+PGRhdGVzPjx5ZWFyPjIwMTM8L3llYXI+PC9kYXRlcz48
aXNibj4xNDc1LTI4NDA8L2lzYm4+PHVybHM+PC91cmxzPjwvcmVjb3JkPjwvQ2l0ZT48L0VuZE5v
dGU+
</w:fldData>
        </w:fldChar>
      </w:r>
      <w:r w:rsidRPr="008D7106">
        <w:rPr>
          <w:rFonts w:asciiTheme="majorBidi" w:eastAsia="Arial" w:hAnsiTheme="majorBidi" w:cstheme="majorBidi"/>
          <w:bCs/>
          <w:sz w:val="24"/>
          <w:szCs w:val="24"/>
        </w:rPr>
        <w:instrText xml:space="preserve"> ADDIN EN.CITE </w:instrText>
      </w:r>
      <w:r w:rsidRPr="008D7106">
        <w:rPr>
          <w:rFonts w:asciiTheme="majorBidi" w:eastAsia="Arial" w:hAnsiTheme="majorBidi" w:cstheme="majorBidi"/>
          <w:bCs/>
          <w:sz w:val="24"/>
          <w:szCs w:val="24"/>
        </w:rPr>
        <w:fldChar w:fldCharType="begin">
          <w:fldData xml:space="preserve">PEVuZE5vdGU+PENpdGU+PEF1dGhvcj5LYWlmdTwvQXV0aG9yPjxZZWFyPjIwMTg8L1llYXI+PFJl
Y051bT4xODwvUmVjTnVtPjxEaXNwbGF5VGV4dD4oMjEsIDIyKTwvRGlzcGxheVRleHQ+PHJlY29y
ZD48cmVjLW51bWJlcj4xODwvcmVjLW51bWJlcj48Zm9yZWlnbi1rZXlzPjxrZXkgYXBwPSJFTiIg
ZGItaWQ9IjB4eDlhZDl0OGZ0MmE0ZXYwejFwMHZhdHJ2c3A5MjJkYXRyOSIgdGltZXN0YW1wPSIx
NzUyMzQxODg4Ij4xODwva2V5PjwvZm9yZWlnbi1rZXlzPjxyZWYtdHlwZSBuYW1lPSJKb3VybmFs
IEFydGljbGUiPjE3PC9yZWYtdHlwZT48Y29udHJpYnV0b3JzPjxhdXRob3JzPjxhdXRob3I+S2Fp
ZnUsIEt1bWlrbzwvYXV0aG9yPjxhdXRob3I+VWVkYSwgU2Vpamk8L2F1dGhvcj48YXV0aG9yPk5h
a2FtdXJhLCBOb2J1dGFrYTwvYXV0aG9yPjxhdXRob3I+TWF0c3VpLCBUYWthbm9yaTwvYXV0aG9y
PjxhdXRob3I+WWFtYWRhLU9iYXJhLCBOYW5hPC9hdXRob3I+PGF1dGhvcj5BbmRvLCBSeW90YXJv
PC9hdXRob3I+PGF1dGhvcj5LYWlkYSwgWXVzdWtlPC9hdXRob3I+PGF1dGhvcj5OYWthdGEsIE1h
c2FtaTwvYXV0aG9yPjxhdXRob3I+TWF0c3VrdW1hLVRveW9uYWdhLCBNYWtpPC9hdXRob3I+PGF1
dGhvcj5IaWdhc2hpbW90bywgWXVpY2hpcm88L2F1dGhvcj48L2F1dGhvcnM+PC9jb250cmlidXRv
cnM+PHRpdGxlcz48dGl0bGU+QWR2YW5jZWQgZ2x5Y2F0aW9uIGVuZCBwcm9kdWN0cyBldm9rZSBp
bmZsYW1tYXRvcnkgcmVhY3Rpb25zIGluIHByb3hpbWFsIHR1YnVsYXIgY2VsbHMgdmlhIGF1dG9j
cmluZSBwcm9kdWN0aW9uIG9mIGRpcGVwdGlkeWwgcGVwdGlkYXNlLTQ8L3RpdGxlPjxzZWNvbmRh
cnktdGl0bGU+TWljcm92YXNjdWxhciBSZXNlYXJjaDwvc2Vjb25kYXJ5LXRpdGxlPjwvdGl0bGVz
PjxwZXJpb2RpY2FsPjxmdWxsLXRpdGxlPk1pY3JvdmFzY3VsYXIgUmVzZWFyY2g8L2Z1bGwtdGl0
bGU+PC9wZXJpb2RpY2FsPjxwYWdlcz45MC05MzwvcGFnZXM+PHZvbHVtZT4xMjA8L3ZvbHVtZT48
ZGF0ZXM+PHllYXI+MjAxODwveWVhcj48L2RhdGVzPjxpc2JuPjAwMjYtMjg2MjwvaXNibj48dXJs
cz48L3VybHM+PC9yZWNvcmQ+PC9DaXRlPjxDaXRlPjxBdXRob3I+SXNoaWJhc2hpPC9BdXRob3I+
PFllYXI+MjAxMzwvWWVhcj48UmVjTnVtPjE5PC9SZWNOdW0+PHJlY29yZD48cmVjLW51bWJlcj4x
OTwvcmVjLW51bWJlcj48Zm9yZWlnbi1rZXlzPjxrZXkgYXBwPSJFTiIgZGItaWQ9IjB4eDlhZDl0
OGZ0MmE0ZXYwejFwMHZhdHJ2c3A5MjJkYXRyOSIgdGltZXN0YW1wPSIxNzUyMzQxOTEwIj4xOTwv
a2V5PjwvZm9yZWlnbi1rZXlzPjxyZWYtdHlwZSBuYW1lPSJKb3VybmFsIEFydGljbGUiPjE3PC9y
ZWYtdHlwZT48Y29udHJpYnV0b3JzPjxhdXRob3JzPjxhdXRob3I+SXNoaWJhc2hpLCBZdWppPC9h
dXRob3I+PGF1dGhvcj5NYXRzdWksIFRha2Fub3JpPC9hdXRob3I+PGF1dGhvcj5NYWVkYSwgU2F5
YWthPC9hdXRob3I+PGF1dGhvcj5IaWdhc2hpbW90bywgWXVpY2hpcm88L2F1dGhvcj48YXV0aG9y
PllhbWFnaXNoaSwgU2hvLWljaGk8L2F1dGhvcj48L2F1dGhvcnM+PC9jb250cmlidXRvcnM+PHRp
dGxlcz48dGl0bGU+QWR2YW5jZWQgZ2x5Y2F0aW9uIGVuZCBwcm9kdWN0cyBldm9rZSBlbmRvdGhl
bGlhbCBjZWxsIGRhbWFnZSBieSBzdGltdWxhdGluZyBzb2x1YmxlIGRpcGVwdGlkeWwgcGVwdGlk
YXNlLTQgcHJvZHVjdGlvbiBhbmQgaXRzIGludGVyYWN0aW9uIHdpdGggbWFubm9zZSA2LXBob3Nw
aGF0ZS9pbnN1bGluLWxpa2UgZ3Jvd3RoIGZhY3RvciBJSSByZWNlcHRvcjwvdGl0bGU+PHNlY29u
ZGFyeS10aXRsZT5DYXJkaW92YXNjdWxhciBkaWFiZXRvbG9neTwvc2Vjb25kYXJ5LXRpdGxlPjwv
dGl0bGVzPjxwZXJpb2RpY2FsPjxmdWxsLXRpdGxlPkNhcmRpb3Zhc2N1bGFyIGRpYWJldG9sb2d5
PC9mdWxsLXRpdGxlPjwvcGVyaW9kaWNhbD48cGFnZXM+MTI1PC9wYWdlcz48dm9sdW1lPjEyPC92
b2x1bWU+PG51bWJlcj4xPC9udW1iZXI+PGRhdGVzPjx5ZWFyPjIwMTM8L3llYXI+PC9kYXRlcz48
aXNibj4xNDc1LTI4NDA8L2lzYm4+PHVybHM+PC91cmxzPjwvcmVjb3JkPjwvQ2l0ZT48L0VuZE5v
dGU+
</w:fldData>
        </w:fldChar>
      </w:r>
      <w:r w:rsidRPr="008D7106">
        <w:rPr>
          <w:rFonts w:asciiTheme="majorBidi" w:eastAsia="Arial" w:hAnsiTheme="majorBidi" w:cstheme="majorBidi"/>
          <w:bCs/>
          <w:sz w:val="24"/>
          <w:szCs w:val="24"/>
        </w:rPr>
        <w:instrText xml:space="preserve"> ADDIN EN.CITE.DATA </w:instrText>
      </w:r>
      <w:r w:rsidRPr="008D7106">
        <w:rPr>
          <w:rFonts w:asciiTheme="majorBidi" w:eastAsia="Arial" w:hAnsiTheme="majorBidi" w:cstheme="majorBidi"/>
          <w:bCs/>
          <w:sz w:val="24"/>
          <w:szCs w:val="24"/>
        </w:rPr>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(21, 22)</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xml:space="preserve">. Similarly, vildagliptin suppresses the RAGE-oxidative stress axis, attenuating vascular damage, while saxagliptin mitigates vascular remodeling and reduces oxidative stress-driven endothelial nitric oxide synthase (eNOS) uncoupling in diabetic mice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&lt;EndNote&gt;&lt;Cite&gt;&lt;Author&gt;Maeda&lt;/Author&gt;&lt;Year&gt;2012&lt;/Year&gt;&lt;RecNum&gt;20&lt;/RecNum&gt;&lt;DisplayText&gt;(23)&lt;/DisplayText&gt;&lt;record&gt;&lt;rec-number&gt;20&lt;/rec-number&gt;&lt;foreign-keys&gt;&lt;key app="EN" db-id="0xx9ad9t8ft2a4ev0z1p0vatrvsp922datr9" timestamp="1752341931"&gt;20&lt;/key&gt;&lt;/foreign-keys&gt;&lt;ref-type name="Journal Article"&gt;17&lt;/ref-type&gt;&lt;contributors&gt;&lt;authors&gt;&lt;author&gt;Maeda, Sayaka&lt;/author&gt;&lt;author&gt;Matsui, Takanori&lt;/author&gt;&lt;author&gt;Yamagishi, Sho-ichi&lt;/author&gt;&lt;/authors&gt;&lt;/contributors&gt;&lt;titles&gt;&lt;title&gt;Vildagliptin inhibits oxidative stress and vascular damage in streptozotocin-induced diabetic rats&lt;/title&gt;&lt;secondary-title&gt;International journal of cardiology&lt;/secondary-title&gt;&lt;/titles&gt;&lt;periodical&gt;&lt;full-title&gt;International journal of cardiology&lt;/full-title&gt;&lt;/periodical&gt;&lt;pages&gt;171-173&lt;/pages&gt;&lt;volume&gt;158&lt;/volume&gt;&lt;number&gt;1&lt;/number&gt;&lt;dates&gt;&lt;year&gt;2012&lt;/year&gt;&lt;/dates&gt;&lt;isbn&gt;0167-5273&lt;/isbn&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(23)</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xml:space="preserve">. However, it should be noted that prolonged DPP4 inhibition might lead to adverse effects, such as cardiac fibrosis, in aged, diabetic models fed with high-fat diets, indicating the need for cautious evaluation of long-term therapy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&lt;EndNote&gt;&lt;Cite&gt;&lt;Author&gt;Mulvihill&lt;/Author&gt;&lt;Year&gt;2016&lt;/Year&gt;&lt;RecNum&gt;21&lt;/RecNum&gt;&lt;DisplayText&gt;(24)&lt;/DisplayText&gt;&lt;record&gt;&lt;rec-number&gt;21&lt;/rec-number&gt;&lt;foreign-keys&gt;&lt;key app="EN" db-id="0xx9ad9t8ft2a4ev0z1p0vatrvsp922datr9" timestamp="1752341950"&gt;21&lt;/key&gt;&lt;/foreign-keys&gt;&lt;ref-type name="Journal Article"&gt;17&lt;/ref-type&gt;&lt;contributors&gt;&lt;authors&gt;&lt;author&gt;Mulvihill, Erin E&lt;/author&gt;&lt;author&gt;Varin, Elodie M&lt;/author&gt;&lt;author&gt;Ussher, John R&lt;/author&gt;&lt;author&gt;Campbell, Jonathan E&lt;/author&gt;&lt;author&gt;Bang, KW Annie&lt;/author&gt;&lt;author&gt;Abdullah, Tahmid&lt;/author&gt;&lt;author&gt;Baggio, Laurie L&lt;/author&gt;&lt;author&gt;Drucker, Daniel J&lt;/author&gt;&lt;/authors&gt;&lt;/contributors&gt;&lt;titles&gt;&lt;title&gt;Inhibition of dipeptidyl peptidase-4 impairs ventricular function and promotes cardiac fibrosis in high fat–fed diabetic mice&lt;/title&gt;&lt;secondary-title&gt;Diabetes&lt;/secondary-title&gt;&lt;/titles&gt;&lt;periodical&gt;&lt;full-title&gt;Diabetes&lt;/full-title&gt;&lt;/periodical&gt;&lt;pages&gt;742-754&lt;/pages&gt;&lt;volume&gt;65&lt;/volume&gt;&lt;number&gt;3&lt;/number&gt;&lt;dates&gt;&lt;year&gt;2016&lt;/year&gt;&lt;/dates&gt;&lt;isbn&gt;0012-1797&lt;/isbn&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(24)</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xml:space="preserve">. The structure of Lina, which is based on a xanthine core, suggests a possible mechanism for its antioxidant activity. Xanthine derivatives are known for their free radical-scavenging ability, which may contribute to the observed protective effects against oxidative stress through direct antioxidant mechanisms or modulation of redox-sensitive pathways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&lt;EndNote&gt;&lt;Cite&gt;&lt;Author&gt;Shiheido-Watanabe&lt;/Author&gt;&lt;Year&gt;2021&lt;/Year&gt;&lt;RecNum&gt;22&lt;/RecNum&gt;&lt;DisplayText&gt;(25)&lt;/DisplayText&gt;&lt;record&gt;&lt;rec-number&gt;22&lt;/rec-number&gt;&lt;foreign-keys&gt;&lt;key app="EN" db-id="0xx9ad9t8ft2a4ev0z1p0vatrvsp922datr9" timestamp="1752341971"&gt;22&lt;/key&gt;&lt;/foreign-keys&gt;&lt;ref-type name="Journal Article"&gt;17&lt;/ref-type&gt;&lt;contributors&gt;&lt;authors&gt;&lt;author&gt;Shiheido-Watanabe, Yuka&lt;/author&gt;&lt;author&gt;Maejima, Yasuhiro&lt;/author&gt;&lt;author&gt;Kasama, Takeshi&lt;/author&gt;&lt;author&gt;Tamura, Natsuko&lt;/author&gt;&lt;author&gt;Nakagama, Shun&lt;/author&gt;&lt;author&gt;Ito, Yusuke&lt;/author&gt;&lt;author&gt;Hirao, Kenzo&lt;/author&gt;&lt;author&gt;Isobe, Mitsuaki&lt;/author&gt;&lt;author&gt;Sasano, Tetsuo&lt;/author&gt;&lt;/authors&gt;&lt;/contributors&gt;&lt;titles&gt;&lt;title&gt;Linagliptin, a xanthine-based Dipeptidyl Peptidase-4 inhibitor, ameliorates experimental autoimmune myocarditis&lt;/title&gt;&lt;secondary-title&gt;Basic to Translational Science&lt;/secondary-title&gt;&lt;/titles&gt;&lt;periodical&gt;&lt;full-title&gt;Basic to Translational Science&lt;/full-title&gt;&lt;/periodical&gt;&lt;pages&gt;527-542&lt;/pages&gt;&lt;volume&gt;6&lt;/volume&gt;&lt;number&gt;6&lt;/number&gt;&lt;dates&gt;&lt;year&gt;2021&lt;/year&gt;&lt;/dates&gt;&lt;isbn&gt;2452-302X&lt;/isbn&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(25)</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Collectively, these findings support the concept that MNZ induces oxidative stress by impairing antioxidant defenses, thereby promoting tissue injury in the thyroid. Conversely, Lina appears to exert protective effects primarily through its antioxidant potential, restoring the redox balance and reducing oxidative damage. These results highlight the therapeutic potential of DPP4 inhibitors like Lina, not only in managing metabolic disturbances in diabetes but also as agents that may mitigate oxidative damage in various tissues.</w:t>
      </w:r>
    </w:p>
    <w:p w14:paraId="5EA84495" w14:textId="0368835B" w:rsidR="008D7106" w:rsidRPr="008D7106"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On the other hand, MNZ significantly suppressed T3 and T4 levels, consistent with its hypothyroid effect reported in earlier studies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&lt;EndNote&gt;&lt;Cite&gt;&lt;Author&gt;Mohanty&lt;/Author&gt;&lt;Year&gt;2025&lt;/Year&gt;&lt;RecNum&gt;4&lt;/RecNum&gt;&lt;DisplayText&gt;(4, 26)&lt;/DisplayText&gt;&lt;record&gt;&lt;rec-number&gt;4&lt;/rec-number&gt;&lt;foreign-keys&gt;&lt;key app="EN" db-id="0xx9ad9t8ft2a4ev0z1p0vatrvsp922datr9" timestamp="1752341584"&gt;4&lt;/key&gt;&lt;/foreign-keys&gt;&lt;ref-type name="Journal Article"&gt;17&lt;/ref-type&gt;&lt;contributors&gt;&lt;authors&gt;&lt;author&gt;Mohanty, Banalata&lt;/author&gt;&lt;/authors&gt;&lt;/contributors&gt;&lt;titles&gt;&lt;title&gt;Mancozeb exposure disrupts endocrine function of the ovary and thyroid in Red Munia (Amandava amandava)&lt;/title&gt;&lt;secondary-title&gt;Chemosphere&lt;/secondary-title&gt;&lt;/titles&gt;&lt;periodical&gt;&lt;full-title&gt;Chemosphere&lt;/full-title&gt;&lt;/periodical&gt;&lt;pages&gt;144202&lt;/pages&gt;&lt;volume&gt;374&lt;/volume&gt;&lt;dates&gt;&lt;year&gt;2025&lt;/year&gt;&lt;/dates&gt;&lt;isbn&gt;0045-6535&lt;/isbn&gt;&lt;urls&gt;&lt;/urls&gt;&lt;/record&gt;&lt;/Cite&gt;&lt;Cite&gt;&lt;Author&gt;Kwon&lt;/Author&gt;&lt;Year&gt;2018&lt;/Year&gt;&lt;RecNum&gt;23&lt;/RecNum&gt;&lt;record&gt;&lt;rec-number&gt;23&lt;/rec-number&gt;&lt;foreign-keys&gt;&lt;key app="EN" db-id="0xx9ad9t8ft2a4ev0z1p0vatrvsp922datr9" timestamp="1752341995"&gt;23&lt;/key&gt;&lt;/foreign-keys&gt;&lt;ref-type name="Journal Article"&gt;17&lt;/ref-type&gt;&lt;contributors&gt;&lt;authors&gt;&lt;author&gt;Kwon, Daeho&lt;/author&gt;&lt;author&gt;Chung, Hwa-Kyoung&lt;/author&gt;&lt;author&gt;Shin, Woon-Seob&lt;/author&gt;&lt;author&gt;Park, Yoon-Sun&lt;/author&gt;&lt;author&gt;Kwon, Seong-Chun&lt;/author&gt;&lt;author&gt;Song, Jae Seok&lt;/author&gt;&lt;author&gt;Park, Byong-Gon&lt;/author&gt;&lt;/authors&gt;&lt;/contributors&gt;&lt;titles&gt;&lt;title&gt;Toxicological evaluation of dithiocarbamate fungicide mancozeb on the endocrine functions in male rats&lt;/title&gt;&lt;secondary-title&gt;Molecular &amp;amp; Cellular Toxicology&lt;/secondary-title&gt;&lt;/titles&gt;&lt;periodical&gt;&lt;full-title&gt;Molecular &amp;amp; Cellular Toxicology&lt;/full-title&gt;&lt;/periodical&gt;&lt;pages&gt;105-112&lt;/pages&gt;&lt;volume&gt;14&lt;/volume&gt;&lt;number&gt;1&lt;/number&gt;&lt;dates&gt;&lt;year&gt;2018&lt;/year&gt;&lt;/dates&gt;&lt;isbn&gt;1738-642X&lt;/isbn&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(4, 26)</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 xml:space="preserve">. However, co-treatment with Lina, particularly at doses of 10 and 20 mg/kg, ameliorated these decreases, bringing T3 and T4 concentrations closer to baseline levels. This suggests that Lina may exert a protective effect against MNZ-induced hypothyroidism, possibly through its antioxidant activity, </w:t>
      </w:r>
      <w:r w:rsidR="001D0047">
        <w:rPr>
          <w:rFonts w:asciiTheme="majorBidi" w:eastAsia="Arial" w:hAnsiTheme="majorBidi" w:cstheme="majorBidi"/>
          <w:bCs/>
          <w:sz w:val="24"/>
          <w:szCs w:val="24"/>
        </w:rPr>
        <w:br w:type="column"/>
      </w:r>
      <w:r w:rsidR="001D0047" w:rsidRPr="008D7106">
        <w:rPr>
          <w:rFonts w:asciiTheme="majorBidi" w:eastAsia="Arial" w:hAnsiTheme="majorBidi" w:cstheme="majorBidi"/>
          <w:bCs/>
          <w:sz w:val="24"/>
          <w:szCs w:val="24"/>
        </w:rPr>
        <w:lastRenderedPageBreak/>
        <w:t>thereby</w:t>
      </w:r>
      <w:r w:rsidRPr="008D7106">
        <w:rPr>
          <w:rFonts w:asciiTheme="majorBidi" w:eastAsia="Arial" w:hAnsiTheme="majorBidi" w:cstheme="majorBidi"/>
          <w:bCs/>
          <w:sz w:val="24"/>
          <w:szCs w:val="24"/>
        </w:rPr>
        <w:t xml:space="preserve"> reducing oxidative damage to thyroid cells. Elevated TSH levels in MNZ-treated groups further support the disruption in thyroid function, while Lina's co-treatment gradually restored TSH levels, indicating a stabilizing effect on the hypothalamic-pituitary-thyroid axis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&lt;EndNote&gt;&lt;Cite&gt;&lt;Author&gt;Mohanty&lt;/Author&gt;&lt;Year&gt;2025&lt;/Year&gt;&lt;RecNum&gt;4&lt;/RecNum&gt;&lt;DisplayText&gt;(4, 26)&lt;/DisplayText&gt;&lt;record&gt;&lt;rec-number&gt;4&lt;/rec-number&gt;&lt;foreign-keys&gt;&lt;key app="EN" db-id="0xx9ad9t8ft2a4ev0z1p0vatrvsp922datr9" timestamp="1752341584"&gt;4&lt;/key&gt;&lt;/foreign-keys&gt;&lt;ref-type name="Journal Article"&gt;17&lt;/ref-type&gt;&lt;contributors&gt;&lt;authors&gt;&lt;author&gt;Mohanty, Banalata&lt;/author&gt;&lt;/authors&gt;&lt;/contributors&gt;&lt;titles&gt;&lt;title&gt;Mancozeb exposure disrupts endocrine function of the ovary and thyroid in Red Munia (Amandava amandava)&lt;/title&gt;&lt;secondary-title&gt;Chemosphere&lt;/secondary-title&gt;&lt;/titles&gt;&lt;periodical&gt;&lt;full-title&gt;Chemosphere&lt;/full-title&gt;&lt;/periodical&gt;&lt;pages&gt;144202&lt;/pages&gt;&lt;volume&gt;374&lt;/volume&gt;&lt;dates&gt;&lt;year&gt;2025&lt;/year&gt;&lt;/dates&gt;&lt;isbn&gt;0045-6535&lt;/isbn&gt;&lt;urls&gt;&lt;/urls&gt;&lt;/record&gt;&lt;/Cite&gt;&lt;Cite&gt;&lt;Author&gt;Kwon&lt;/Author&gt;&lt;Year&gt;2018&lt;/Year&gt;&lt;RecNum&gt;23&lt;/RecNum&gt;&lt;record&gt;&lt;rec-number&gt;23&lt;/rec-number&gt;&lt;foreign-keys&gt;&lt;key app="EN" db-id="0xx9ad9t8ft2a4ev0z1p0vatrvsp922datr9" timestamp="1752341995"&gt;23&lt;/key&gt;&lt;/foreign-keys&gt;&lt;ref-type name="Journal Article"&gt;17&lt;/ref-type&gt;&lt;contributors&gt;&lt;authors&gt;&lt;author&gt;Kwon, Daeho&lt;/author&gt;&lt;author&gt;Chung, Hwa-Kyoung&lt;/author&gt;&lt;author&gt;Shin, Woon-Seob&lt;/author&gt;&lt;author&gt;Park, Yoon-Sun&lt;/author&gt;&lt;author&gt;Kwon, Seong-Chun&lt;/author&gt;&lt;author&gt;Song, Jae Seok&lt;/author&gt;&lt;author&gt;Park, Byong-Gon&lt;/author&gt;&lt;/authors&gt;&lt;/contributors&gt;&lt;titles&gt;&lt;title&gt;Toxicological evaluation of dithiocarbamate fungicide mancozeb on the endocrine functions in male rats&lt;/title&gt;&lt;secondary-title&gt;Molecular &amp;amp; Cellular Toxicology&lt;/secondary-title&gt;&lt;/titles&gt;&lt;periodical&gt;&lt;full-title&gt;Molecular &amp;amp; Cellular Toxicology&lt;/full-title&gt;&lt;/periodical&gt;&lt;pages&gt;105-112&lt;/pages&gt;&lt;volume&gt;14&lt;/volume&gt;&lt;number&gt;1&lt;/number&gt;&lt;dates&gt;&lt;year&gt;2018&lt;/year&gt;&lt;/dates&gt;&lt;isbn&gt;1738-642X&lt;/isbn&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(4, 26)</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w:t>
      </w:r>
    </w:p>
    <w:p w14:paraId="785BEF3A" w14:textId="77777777" w:rsidR="008D7106" w:rsidRPr="008D7106"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Histopathological assessment demonstrates that MNZ induces mild hyperplasia and hypertrophy of follicular cells (Grade 1 alterations), signifying a tissue response to damage or stress. Importantly, high-dose Lina co-treatment (10 and 20 mg/kg) did not result in significant tissue changes, suggesting a protective role. These findings corroborate previous reports indicating that antioxidants can mitigate structural alterations in the thyroid gland, potentially preventing the progression to more severe lesions </w:t>
      </w:r>
      <w:r w:rsidRPr="008D7106">
        <w:rPr>
          <w:rFonts w:asciiTheme="majorBidi" w:eastAsia="Arial" w:hAnsiTheme="majorBidi" w:cstheme="majorBidi"/>
          <w:bCs/>
          <w:sz w:val="24"/>
          <w:szCs w:val="24"/>
        </w:rPr>
        <w:fldChar w:fldCharType="begin"/>
      </w:r>
      <w:r w:rsidRPr="008D7106">
        <w:rPr>
          <w:rFonts w:asciiTheme="majorBidi" w:eastAsia="Arial" w:hAnsiTheme="majorBidi" w:cstheme="majorBidi"/>
          <w:bCs/>
          <w:sz w:val="24"/>
          <w:szCs w:val="24"/>
        </w:rPr>
        <w:instrText xml:space="preserve"> ADDIN EN.CITE &lt;EndNote&gt;&lt;Cite&gt;&lt;Author&gt;Macvanin&lt;/Author&gt;&lt;Year&gt;2023&lt;/Year&gt;&lt;RecNum&gt;2&lt;/RecNum&gt;&lt;DisplayText&gt;(2, 27)&lt;/DisplayText&gt;&lt;record&gt;&lt;rec-number&gt;2&lt;/rec-number&gt;&lt;foreign-keys&gt;&lt;key app="EN" db-id="0xx9ad9t8ft2a4ev0z1p0vatrvsp922datr9" timestamp="1752341523"&gt;2&lt;/key&gt;&lt;/foreign-keys&gt;&lt;ref-type name="Journal Article"&gt;17&lt;/ref-type&gt;&lt;contributors&gt;&lt;authors&gt;&lt;author&gt;Macvanin, Mirjana T&lt;/author&gt;&lt;author&gt;Gluvic, Zoran&lt;/author&gt;&lt;author&gt;Zafirovic, Sonja&lt;/author&gt;&lt;author&gt;Gao, Xin&lt;/author&gt;&lt;author&gt;Essack, Magbubah&lt;/author&gt;&lt;author&gt;Isenovic, Esma R&lt;/author&gt;&lt;/authors&gt;&lt;/contributors&gt;&lt;titles&gt;&lt;title&gt;The protective role of nutritional antioxidants against oxidative stress in thyroid disorders&lt;/title&gt;&lt;secondary-title&gt;Frontiers in endocrinology&lt;/secondary-title&gt;&lt;/titles&gt;&lt;periodical&gt;&lt;full-title&gt;Frontiers in endocrinology&lt;/full-title&gt;&lt;/periodical&gt;&lt;pages&gt;1092837&lt;/pages&gt;&lt;volume&gt;13&lt;/volume&gt;&lt;dates&gt;&lt;year&gt;2023&lt;/year&gt;&lt;/dates&gt;&lt;isbn&gt;1664-2392&lt;/isbn&gt;&lt;urls&gt;&lt;/urls&gt;&lt;/record&gt;&lt;/Cite&gt;&lt;Cite&gt;&lt;Author&gt;Paunkov&lt;/Author&gt;&lt;Year&gt;2019&lt;/Year&gt;&lt;RecNum&gt;24&lt;/RecNum&gt;&lt;record&gt;&lt;rec-number&gt;24&lt;/rec-number&gt;&lt;foreign-keys&gt;&lt;key app="EN" db-id="0xx9ad9t8ft2a4ev0z1p0vatrvsp922datr9" timestamp="1752342016"&gt;24&lt;/key&gt;&lt;/foreign-keys&gt;&lt;ref-type name="Journal Article"&gt;17&lt;/ref-type&gt;&lt;contributors&gt;&lt;authors&gt;&lt;author&gt;Paunkov, Ana&lt;/author&gt;&lt;author&gt;Chartoumpekis, Dionysios V&lt;/author&gt;&lt;author&gt;Ziros, Panos G&lt;/author&gt;&lt;author&gt;Chondrogianni, Niki&lt;/author&gt;&lt;author&gt;Kensler, Thomas W&lt;/author&gt;&lt;author&gt;Sykiotis, Gerasimos P&lt;/author&gt;&lt;/authors&gt;&lt;/contributors&gt;&lt;titles&gt;&lt;title&gt;Impact of antioxidant natural compounds on the thyroid gland and implication of the Keap1/Nrf2 signaling pathway&lt;/title&gt;&lt;secondary-title&gt;Current pharmaceutical design&lt;/secondary-title&gt;&lt;/titles&gt;&lt;periodical&gt;&lt;full-title&gt;Current pharmaceutical design&lt;/full-title&gt;&lt;/periodical&gt;&lt;pages&gt;1828-1846&lt;/pages&gt;&lt;volume&gt;25&lt;/volume&gt;&lt;number&gt;16&lt;/number&gt;&lt;dates&gt;&lt;year&gt;2019&lt;/year&gt;&lt;/dates&gt;&lt;isbn&gt;1381-6128&lt;/isbn&gt;&lt;urls&gt;&lt;/urls&gt;&lt;/record&gt;&lt;/Cite&gt;&lt;/EndNote&gt;</w:instrText>
      </w:r>
      <w:r w:rsidRPr="008D7106">
        <w:rPr>
          <w:rFonts w:asciiTheme="majorBidi" w:eastAsia="Arial" w:hAnsiTheme="majorBidi" w:cstheme="majorBidi"/>
          <w:bCs/>
          <w:sz w:val="24"/>
          <w:szCs w:val="24"/>
        </w:rPr>
        <w:fldChar w:fldCharType="separate"/>
      </w:r>
      <w:r w:rsidRPr="008D7106">
        <w:rPr>
          <w:rFonts w:asciiTheme="majorBidi" w:eastAsia="Arial" w:hAnsiTheme="majorBidi" w:cstheme="majorBidi"/>
          <w:bCs/>
          <w:sz w:val="24"/>
          <w:szCs w:val="24"/>
        </w:rPr>
        <w:t>(2, 27)</w:t>
      </w:r>
      <w:r w:rsidRPr="008D7106">
        <w:rPr>
          <w:rFonts w:asciiTheme="majorBidi" w:eastAsia="Arial" w:hAnsiTheme="majorBidi" w:cstheme="majorBidi"/>
          <w:bCs/>
          <w:sz w:val="24"/>
          <w:szCs w:val="24"/>
        </w:rPr>
        <w:fldChar w:fldCharType="end"/>
      </w:r>
      <w:r w:rsidRPr="008D7106">
        <w:rPr>
          <w:rFonts w:asciiTheme="majorBidi" w:eastAsia="Arial" w:hAnsiTheme="majorBidi" w:cstheme="majorBidi"/>
          <w:bCs/>
          <w:sz w:val="24"/>
          <w:szCs w:val="24"/>
        </w:rPr>
        <w:t>.</w:t>
      </w:r>
    </w:p>
    <w:p w14:paraId="79F581DF" w14:textId="77777777" w:rsidR="008D7106" w:rsidRPr="008D7106"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The observed biochemical and histological data suggest that MNZ induces oxidative stress, disrupting redox balance and impairing thyroid hormone synthesis, which leads to hypothyroidism and tissue hyperplasia. Lina, functioning as an antioxidant, reduces oxidative stress by restoring enzymatic activities (CAT, SOD) and thiol levels, thereby protecting thyroid tissue integrity and hormonal functions. The dose-dependent protective effects of Lina imply that higher doses could be more efficacious in mitigating drug-induced thyroid toxicity.</w:t>
      </w:r>
    </w:p>
    <w:p w14:paraId="5A844750" w14:textId="1C8EA4A4" w:rsidR="008D7106" w:rsidRPr="008D7106"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Although the study provides valuable insights, some limitations include the reliance on serum markers for oxidative stress due to the small size of thyroid tissue, as these markers may not fully reflect tissue-specific dynamics. Further research exploring the molecular pathways involved, as well as longitudinal studies assessing the long-term protective effects of Lina are warranted.</w:t>
      </w:r>
    </w:p>
    <w:p w14:paraId="1FB0B948" w14:textId="6FAEF5FE" w:rsidR="008D7106"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Mancozeb (MNZ) induces oxidative stress and mild thyroid dysfunction in Wistar rats. Linagliptin (Lina), particularly at 20 mg/kg, restores antioxidant defenses, normalizes </w:t>
      </w:r>
      <w:r w:rsidR="001D0047">
        <w:rPr>
          <w:rFonts w:asciiTheme="majorBidi" w:eastAsia="Arial" w:hAnsiTheme="majorBidi" w:cstheme="majorBidi"/>
          <w:bCs/>
          <w:sz w:val="24"/>
          <w:szCs w:val="24"/>
        </w:rPr>
        <w:br w:type="column"/>
      </w:r>
      <w:r w:rsidRPr="008D7106">
        <w:rPr>
          <w:rFonts w:asciiTheme="majorBidi" w:eastAsia="Arial" w:hAnsiTheme="majorBidi" w:cstheme="majorBidi"/>
          <w:bCs/>
          <w:sz w:val="24"/>
          <w:szCs w:val="24"/>
        </w:rPr>
        <w:t>thyroid hormones, and protects tissue architecture, showing a clear dose-dependent effect. These results highlight Lina’s potential as a protective agent against thyroid damage caused by oxidative stress-inducing toxins, warranting further studies to explore underlying mechanisms and clinical relevance.</w:t>
      </w:r>
    </w:p>
    <w:p w14:paraId="725A95BC" w14:textId="77777777" w:rsidR="008D7106" w:rsidRPr="008D7106" w:rsidRDefault="008D7106" w:rsidP="008D7106">
      <w:pPr>
        <w:tabs>
          <w:tab w:val="left" w:pos="284"/>
        </w:tabs>
        <w:spacing w:after="0" w:line="240" w:lineRule="auto"/>
        <w:ind w:firstLine="284"/>
        <w:contextualSpacing/>
        <w:jc w:val="both"/>
        <w:outlineLvl w:val="0"/>
        <w:rPr>
          <w:rFonts w:asciiTheme="majorBidi" w:eastAsia="Arial" w:hAnsiTheme="majorBidi" w:cstheme="majorBidi"/>
          <w:bCs/>
          <w:sz w:val="24"/>
          <w:szCs w:val="24"/>
        </w:rPr>
      </w:pPr>
    </w:p>
    <w:p w14:paraId="59C0C43D"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
          <w:bCs/>
          <w:sz w:val="28"/>
          <w:szCs w:val="28"/>
        </w:rPr>
      </w:pPr>
      <w:r w:rsidRPr="008D7106">
        <w:rPr>
          <w:rFonts w:asciiTheme="majorBidi" w:eastAsia="Arial" w:hAnsiTheme="majorBidi" w:cstheme="majorBidi"/>
          <w:b/>
          <w:bCs/>
          <w:sz w:val="28"/>
          <w:szCs w:val="28"/>
        </w:rPr>
        <w:t>Acknowledgment</w:t>
      </w:r>
    </w:p>
    <w:p w14:paraId="53354422" w14:textId="182F390C" w:rsid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This paper is based on Sahar Mostafavi’s thesis for her subspecialist’s degree in endocrinology and metabolism from AJUMS. </w:t>
      </w:r>
    </w:p>
    <w:p w14:paraId="66AC3CA0"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tl/>
        </w:rPr>
      </w:pPr>
    </w:p>
    <w:p w14:paraId="3D839C60"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
          <w:bCs/>
          <w:sz w:val="28"/>
          <w:szCs w:val="28"/>
          <w:rtl/>
        </w:rPr>
      </w:pPr>
      <w:r w:rsidRPr="008D7106">
        <w:rPr>
          <w:rFonts w:asciiTheme="majorBidi" w:eastAsia="Arial" w:hAnsiTheme="majorBidi" w:cstheme="majorBidi"/>
          <w:b/>
          <w:bCs/>
          <w:sz w:val="28"/>
          <w:szCs w:val="28"/>
        </w:rPr>
        <w:t>Ethics Approval</w:t>
      </w:r>
    </w:p>
    <w:p w14:paraId="7D12E869" w14:textId="789EB9F6" w:rsid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This study was approved by the Ahvaz Jundishapur University of Medicine’s ethics committee (IR. AJUMS.ABHC.REC.1402.080).</w:t>
      </w:r>
    </w:p>
    <w:p w14:paraId="7C510B86"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tl/>
        </w:rPr>
      </w:pPr>
    </w:p>
    <w:p w14:paraId="596B06AB"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Cs/>
          <w:sz w:val="28"/>
          <w:szCs w:val="28"/>
        </w:rPr>
      </w:pPr>
      <w:r w:rsidRPr="008D7106">
        <w:rPr>
          <w:rFonts w:asciiTheme="majorBidi" w:eastAsia="Arial" w:hAnsiTheme="majorBidi" w:cstheme="majorBidi"/>
          <w:b/>
          <w:bCs/>
          <w:sz w:val="28"/>
          <w:szCs w:val="28"/>
        </w:rPr>
        <w:t>Conflict of interest</w:t>
      </w:r>
    </w:p>
    <w:p w14:paraId="79EBB824" w14:textId="4C3408F1" w:rsid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There is no conflict of interest</w:t>
      </w:r>
    </w:p>
    <w:p w14:paraId="0347E9BC"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Cs/>
          <w:sz w:val="24"/>
          <w:szCs w:val="24"/>
        </w:rPr>
      </w:pPr>
    </w:p>
    <w:p w14:paraId="63043E1A" w14:textId="77777777" w:rsidR="008D7106" w:rsidRPr="008D7106" w:rsidRDefault="008D7106" w:rsidP="008D7106">
      <w:pPr>
        <w:tabs>
          <w:tab w:val="left" w:pos="284"/>
        </w:tabs>
        <w:spacing w:after="0" w:line="240" w:lineRule="auto"/>
        <w:contextualSpacing/>
        <w:jc w:val="both"/>
        <w:outlineLvl w:val="0"/>
        <w:rPr>
          <w:rFonts w:asciiTheme="majorBidi" w:eastAsia="Arial" w:hAnsiTheme="majorBidi" w:cstheme="majorBidi"/>
          <w:b/>
          <w:bCs/>
          <w:sz w:val="28"/>
          <w:szCs w:val="28"/>
        </w:rPr>
      </w:pPr>
      <w:r w:rsidRPr="008D7106">
        <w:rPr>
          <w:rFonts w:asciiTheme="majorBidi" w:eastAsia="Arial" w:hAnsiTheme="majorBidi" w:cstheme="majorBidi"/>
          <w:b/>
          <w:bCs/>
          <w:sz w:val="28"/>
          <w:szCs w:val="28"/>
        </w:rPr>
        <w:t>Authors’ Contribution</w:t>
      </w:r>
    </w:p>
    <w:p w14:paraId="71AB1989" w14:textId="32EA3981" w:rsidR="0016716D" w:rsidRDefault="008D7106" w:rsidP="001D0047">
      <w:pPr>
        <w:tabs>
          <w:tab w:val="left" w:pos="284"/>
        </w:tabs>
        <w:spacing w:after="0" w:line="240" w:lineRule="auto"/>
        <w:contextualSpacing/>
        <w:jc w:val="both"/>
        <w:outlineLvl w:val="0"/>
        <w:rPr>
          <w:rFonts w:asciiTheme="majorBidi" w:eastAsia="Arial" w:hAnsiTheme="majorBidi" w:cstheme="majorBidi"/>
          <w:bCs/>
          <w:sz w:val="24"/>
          <w:szCs w:val="24"/>
        </w:rPr>
      </w:pPr>
      <w:r w:rsidRPr="008D7106">
        <w:rPr>
          <w:rFonts w:asciiTheme="majorBidi" w:eastAsia="Arial" w:hAnsiTheme="majorBidi" w:cstheme="majorBidi"/>
          <w:bCs/>
          <w:sz w:val="24"/>
          <w:szCs w:val="24"/>
        </w:rPr>
        <w:t xml:space="preserve">Mehrnoosh Zakerkish contributed to this research in conceptualization, data curation, formal analysis, funding acquisition, investigation, methodology, project administration, resources, supervision, validation, visualization, writing-review, and editing. Sirous Rafiei Asl contributed to this research in data curation, formal analysis, investigation, methodology, software, supervision, validation, visualization, writing-review, and editing. Maryam Shirani contributed to this research in data curation, formal analysis, investigation, methodology, resources, software, supervision, validation, visualization, and writing-original draft. Zahra Farhangian contributed to this research in formal analysis, investigation. Sahar Mostafavi contributed to this research by formal analysis, investigation, methodology, software, validation, visualization, and writing- original draft. </w:t>
      </w:r>
    </w:p>
    <w:p w14:paraId="2A071DCC" w14:textId="77777777" w:rsidR="001D0047" w:rsidRDefault="001D0047" w:rsidP="001D0047">
      <w:pPr>
        <w:tabs>
          <w:tab w:val="left" w:pos="284"/>
        </w:tabs>
        <w:spacing w:after="0" w:line="240" w:lineRule="auto"/>
        <w:contextualSpacing/>
        <w:jc w:val="both"/>
        <w:outlineLvl w:val="0"/>
        <w:rPr>
          <w:rFonts w:asciiTheme="majorBidi" w:eastAsia="Arial" w:hAnsiTheme="majorBidi" w:cstheme="majorBidi"/>
          <w:bCs/>
          <w:sz w:val="24"/>
          <w:szCs w:val="24"/>
        </w:rPr>
      </w:pPr>
    </w:p>
    <w:p w14:paraId="4BA4A4CF" w14:textId="77777777" w:rsidR="001D0047" w:rsidRDefault="001D0047" w:rsidP="001D0047">
      <w:pPr>
        <w:tabs>
          <w:tab w:val="left" w:pos="284"/>
        </w:tabs>
        <w:spacing w:after="0" w:line="240" w:lineRule="auto"/>
        <w:contextualSpacing/>
        <w:jc w:val="both"/>
        <w:outlineLvl w:val="0"/>
        <w:rPr>
          <w:rFonts w:asciiTheme="majorBidi" w:eastAsia="Arial" w:hAnsiTheme="majorBidi" w:cstheme="majorBidi"/>
          <w:bCs/>
          <w:sz w:val="24"/>
          <w:szCs w:val="24"/>
        </w:rPr>
      </w:pPr>
    </w:p>
    <w:p w14:paraId="482C726E" w14:textId="77777777" w:rsidR="001D0047" w:rsidRDefault="001D0047" w:rsidP="001D0047">
      <w:pPr>
        <w:tabs>
          <w:tab w:val="left" w:pos="284"/>
        </w:tabs>
        <w:spacing w:after="0" w:line="240" w:lineRule="auto"/>
        <w:contextualSpacing/>
        <w:jc w:val="both"/>
        <w:outlineLvl w:val="0"/>
        <w:rPr>
          <w:rFonts w:asciiTheme="majorBidi" w:eastAsia="Arial" w:hAnsiTheme="majorBidi" w:cstheme="majorBidi"/>
          <w:bCs/>
          <w:sz w:val="24"/>
          <w:szCs w:val="24"/>
        </w:rPr>
      </w:pPr>
    </w:p>
    <w:p w14:paraId="56B501D6" w14:textId="77777777" w:rsidR="001D0047" w:rsidRPr="008D7106" w:rsidRDefault="001D0047" w:rsidP="001D0047">
      <w:pPr>
        <w:tabs>
          <w:tab w:val="left" w:pos="284"/>
        </w:tabs>
        <w:spacing w:after="0" w:line="240" w:lineRule="auto"/>
        <w:contextualSpacing/>
        <w:jc w:val="both"/>
        <w:outlineLvl w:val="0"/>
        <w:rPr>
          <w:rFonts w:ascii="Times New Roman" w:eastAsia="Times New Roman" w:hAnsi="Times New Roman" w:cs="Times New Roman"/>
          <w:color w:val="000000" w:themeColor="text1"/>
        </w:rPr>
      </w:pPr>
    </w:p>
    <w:p w14:paraId="42DC94CF" w14:textId="5992D967" w:rsidR="009F383E" w:rsidRPr="008D7106" w:rsidRDefault="009F383E" w:rsidP="003B4C73">
      <w:pPr>
        <w:tabs>
          <w:tab w:val="left" w:pos="284"/>
        </w:tabs>
        <w:spacing w:after="0" w:line="240" w:lineRule="auto"/>
        <w:contextualSpacing/>
        <w:jc w:val="both"/>
        <w:outlineLvl w:val="0"/>
        <w:rPr>
          <w:rFonts w:ascii="Times New Roman" w:eastAsia="Times New Roman" w:hAnsi="Times New Roman" w:cs="Times New Roman"/>
          <w:color w:val="000000" w:themeColor="text1"/>
          <w:sz w:val="22"/>
          <w:szCs w:val="22"/>
        </w:rPr>
        <w:sectPr w:rsidR="009F383E" w:rsidRPr="008D7106" w:rsidSect="004A75E8">
          <w:type w:val="continuous"/>
          <w:pgSz w:w="11907" w:h="16840" w:code="9"/>
          <w:pgMar w:top="1588" w:right="1134" w:bottom="1588" w:left="1134" w:header="680" w:footer="680" w:gutter="0"/>
          <w:cols w:num="2" w:space="720"/>
          <w:titlePg/>
          <w:docGrid w:linePitch="360"/>
        </w:sectPr>
      </w:pPr>
    </w:p>
    <w:p w14:paraId="5EF97F21" w14:textId="274EDC8E" w:rsidR="00275356" w:rsidRPr="00F07D4C" w:rsidRDefault="001D0047" w:rsidP="00AC5CFA">
      <w:pPr>
        <w:tabs>
          <w:tab w:val="left" w:pos="284"/>
        </w:tabs>
        <w:spacing w:before="240" w:after="0" w:line="240" w:lineRule="auto"/>
        <w:contextualSpacing/>
        <w:jc w:val="both"/>
        <w:outlineLvl w:val="0"/>
        <w:rPr>
          <w:rFonts w:asciiTheme="majorBidi" w:hAnsiTheme="majorBidi" w:cstheme="majorBidi"/>
          <w:color w:val="000000" w:themeColor="text1"/>
          <w:spacing w:val="-4"/>
          <w:sz w:val="24"/>
          <w:szCs w:val="24"/>
        </w:rPr>
      </w:pPr>
      <w:r>
        <w:rPr>
          <w:rFonts w:ascii="Times New Roman" w:eastAsia="Times New Roman" w:hAnsi="Times New Roman" w:cs="Times New Roman"/>
          <w:b/>
          <w:color w:val="000000" w:themeColor="text1"/>
          <w:sz w:val="28"/>
          <w:szCs w:val="28"/>
        </w:rPr>
        <w:br w:type="column"/>
      </w:r>
      <w:r w:rsidR="00275356" w:rsidRPr="00F07D4C">
        <w:rPr>
          <w:rFonts w:ascii="Times New Roman" w:eastAsia="Times New Roman" w:hAnsi="Times New Roman" w:cs="Times New Roman"/>
          <w:b/>
          <w:color w:val="000000" w:themeColor="text1"/>
          <w:sz w:val="28"/>
          <w:szCs w:val="28"/>
        </w:rPr>
        <w:lastRenderedPageBreak/>
        <w:t xml:space="preserve">References </w:t>
      </w:r>
    </w:p>
    <w:p w14:paraId="5FFAB12D" w14:textId="4B875179" w:rsid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fldChar w:fldCharType="begin"/>
      </w:r>
      <w:r w:rsidRPr="008D7106">
        <w:rPr>
          <w:rFonts w:asciiTheme="majorBidi" w:hAnsiTheme="majorBidi" w:cstheme="majorBidi"/>
          <w:bCs/>
          <w:color w:val="000000" w:themeColor="text1"/>
          <w:spacing w:val="-4"/>
          <w:sz w:val="24"/>
          <w:szCs w:val="24"/>
        </w:rPr>
        <w:instrText xml:space="preserve"> ADDIN EN.REFLIST </w:instrText>
      </w:r>
      <w:r w:rsidRPr="008D7106">
        <w:rPr>
          <w:rFonts w:asciiTheme="majorBidi" w:hAnsiTheme="majorBidi" w:cstheme="majorBidi"/>
          <w:bCs/>
          <w:color w:val="000000" w:themeColor="text1"/>
          <w:spacing w:val="-4"/>
          <w:sz w:val="24"/>
          <w:szCs w:val="24"/>
        </w:rPr>
        <w:fldChar w:fldCharType="separate"/>
      </w:r>
      <w:r w:rsidRPr="008D7106">
        <w:rPr>
          <w:rFonts w:asciiTheme="majorBidi" w:hAnsiTheme="majorBidi" w:cstheme="majorBidi"/>
          <w:bCs/>
          <w:color w:val="000000" w:themeColor="text1"/>
          <w:spacing w:val="-4"/>
          <w:sz w:val="24"/>
          <w:szCs w:val="24"/>
        </w:rPr>
        <w:t>Al-Suhaimi EA, Khan FA. Thyroid glands: Physiology and structure. Emerging concepts in endocrine structure and functions. Springer. 2022;Ch 1:133-60.</w:t>
      </w:r>
    </w:p>
    <w:p w14:paraId="2F6BF380" w14:textId="0AC0DB4F"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Macvanin MT, Gluvic Z, Zafirovic S, Gao X, Essack M, Isenovic ER. The protective role of nutritional antioxidants against oxidative stress in thyroid disorders. Front Endocrinol. 2023;13:1092837.</w:t>
      </w:r>
    </w:p>
    <w:p w14:paraId="5B693B68" w14:textId="320CF4DB"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Kochman J, Jakubczyk K, Bargiel P, Janda-Milczarek K. The Influence of Oxidative Stress on Thyroid Diseases. Antioxidants (Basel). 2021;10(9):1442.</w:t>
      </w:r>
    </w:p>
    <w:p w14:paraId="6F18F0AD" w14:textId="361A50D2"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Mohanty B. Mancozeb exposure disrupts endocrine function of the ovary and thyroid in Red Munia (Amandava amandava). Chemosphere. 2025;374:144202.</w:t>
      </w:r>
    </w:p>
    <w:p w14:paraId="2AD60C45" w14:textId="2A9B6B45"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Kackar R, Srivastava MK, Raizada RB. Studies on rat thyroid after oral administration of mancozeb: morphological and biochemical evaluations. J Appl Toxicol. 1997;17(6):369-75. </w:t>
      </w:r>
    </w:p>
    <w:p w14:paraId="70A16A70" w14:textId="276F0DE2"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Ksheerasagar RL, Kaliwal BB. Temporal effects of mancozeb on testes, accessory reproductive organs and biochemical constituents in albino mice. Environ Toxicol Pharmacol. 2003;15(1):9-17.</w:t>
      </w:r>
    </w:p>
    <w:p w14:paraId="7B7D2D71" w14:textId="6A746C71"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Zhang Y, Wen R, Bao J, Gong Y, Wang X. Mancozeb induces nephrotoxicity by impairing the oxidative phosphorylation pathway: A transcriptome study. Ecotoxicol Environ Saf. 2023;249:114471. </w:t>
      </w:r>
    </w:p>
    <w:p w14:paraId="0C45317A" w14:textId="0F7126FC"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Shirani K, Behravan J, Mosaffa F, Iranshahi M, Mehmankhah B, Razavi-Azarkhiavi K, Karimi G. Evaluating the effects of galbanic acid on hydrogen peroxide-induced oxidative DNA damage in human lymphocytes. Avicenna J Phytomed. 2014;4(5):337-42.</w:t>
      </w:r>
    </w:p>
    <w:p w14:paraId="5587DEAD" w14:textId="308A2853" w:rsidR="008D7106" w:rsidRPr="008D7106" w:rsidRDefault="008D7106" w:rsidP="008D7106">
      <w:pPr>
        <w:numPr>
          <w:ilvl w:val="0"/>
          <w:numId w:val="28"/>
        </w:numPr>
        <w:tabs>
          <w:tab w:val="left" w:pos="284"/>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Badiee MS, Vadizadeh A, Salehcheh M, Moosavi M, Shirani M, Fakhredini F, Khodayar MJ. Quercetin and Catechin Protects Leptin-Deficient Lep</w:t>
      </w:r>
      <w:r w:rsidRPr="008D7106">
        <w:rPr>
          <w:rFonts w:asciiTheme="majorBidi" w:hAnsiTheme="majorBidi" w:cstheme="majorBidi"/>
          <w:bCs/>
          <w:color w:val="000000" w:themeColor="text1"/>
          <w:spacing w:val="-4"/>
          <w:sz w:val="24"/>
          <w:szCs w:val="24"/>
          <w:vertAlign w:val="superscript"/>
        </w:rPr>
        <w:t>ob/Ob</w:t>
      </w:r>
      <w:r w:rsidRPr="008D7106">
        <w:rPr>
          <w:rFonts w:asciiTheme="majorBidi" w:hAnsiTheme="majorBidi" w:cstheme="majorBidi"/>
          <w:bCs/>
          <w:color w:val="000000" w:themeColor="text1"/>
          <w:spacing w:val="-4"/>
          <w:sz w:val="24"/>
          <w:szCs w:val="24"/>
        </w:rPr>
        <w:t> Mice Against Alloxan-Induced Diabetes and Hepatotoxicity via Suppression of Oxidative Stress and</w:t>
      </w:r>
      <w:r w:rsidR="009752F6">
        <w:rPr>
          <w:rFonts w:asciiTheme="majorBidi" w:hAnsiTheme="majorBidi" w:cstheme="majorBidi"/>
          <w:bCs/>
          <w:color w:val="000000" w:themeColor="text1"/>
          <w:spacing w:val="-4"/>
          <w:sz w:val="24"/>
          <w:szCs w:val="24"/>
        </w:rPr>
        <w:t xml:space="preserve"> </w:t>
      </w:r>
      <w:r w:rsidRPr="008D7106">
        <w:rPr>
          <w:rFonts w:asciiTheme="majorBidi" w:hAnsiTheme="majorBidi" w:cstheme="majorBidi"/>
          <w:bCs/>
          <w:color w:val="000000" w:themeColor="text1"/>
          <w:spacing w:val="-4"/>
          <w:sz w:val="24"/>
          <w:szCs w:val="24"/>
        </w:rPr>
        <w:t>Inflammation. Rep Biochem Mol Biol. 2024;13(2):184-195.</w:t>
      </w:r>
    </w:p>
    <w:p w14:paraId="58766604" w14:textId="7F6FEC23"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 xml:space="preserve">Chakrabarti SK, Ghosh S, Banerjee S, Mukherjee S, Chowdhury S. Oxidative stress in hypothyroid patients and the role of antioxidant </w:t>
      </w:r>
      <w:r w:rsidRPr="008D7106">
        <w:rPr>
          <w:rFonts w:asciiTheme="majorBidi" w:hAnsiTheme="majorBidi" w:cstheme="majorBidi"/>
          <w:bCs/>
          <w:color w:val="000000" w:themeColor="text1"/>
          <w:spacing w:val="-4"/>
          <w:sz w:val="24"/>
          <w:szCs w:val="24"/>
        </w:rPr>
        <w:t>supplementation. Indian J Endocrinol Metab. 2016;20(5):674-678. </w:t>
      </w:r>
    </w:p>
    <w:p w14:paraId="5134991E" w14:textId="03C30051"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Grim KC, Wolfe M, Braunbeck T, Iguchi T, Ohta Y, Tooi O, et al. Thyroid histopathology assessments for the amphibian metamorphosis assay to detect thyroid-active substances. Toxicol Pathol. 2009;37(4):415-24. </w:t>
      </w:r>
    </w:p>
    <w:p w14:paraId="69E302CA" w14:textId="6AEFE8BB"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Kawanami D, Takashi Y, Takahashi H, Motonaga R, Tanabe M. Renoprotective Effects of DPP-4 Inhibitors. Antioxidants (Basel). 2021;10(2):246. </w:t>
      </w:r>
    </w:p>
    <w:p w14:paraId="44EEF8FE" w14:textId="3C10C51A"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Makino H, Matsuo M, Hishida A, Koezuka R, Tochiya M, Ohata Y, et al. Effect of linagliptin on oxidative stress markers in patients with type 2 diabetes: a pilot study. Diabetol Int. 2018;10(2):148-152.</w:t>
      </w:r>
    </w:p>
    <w:p w14:paraId="1ED2FA8C" w14:textId="6A664318"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Morales-Ovalles Y, Miranda-Contreras L, Peña-Contreras Z, Dávila-Vera D, Balza-Quintero A, Sánchez-Gil B, Mendoza-Briceño RV. Developmental exposure to mancozeb induced neurochemical and morphological alterations in adult male mouse hypothalamus. Environ Toxicol Pharmacol. 2018;64:139-146.</w:t>
      </w:r>
    </w:p>
    <w:p w14:paraId="1EE29145" w14:textId="7028E8F3"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Abhangi KV, Patel JI. Neuroprotective effects of linagliptin in a rotenone-induced rat model of Parkinson's disease. Indian J Pharmacol. 2022;54(1):46-50.</w:t>
      </w:r>
    </w:p>
    <w:p w14:paraId="74EBD7AF" w14:textId="6C7DAE6E"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Karimi S, Koohpeyma F, Khorsandi L, Panahi A, Rezaei-Tazangi F, Fakhredini F. Comparative Analysis of Curcumin and Metformin Effects on the Kidney in a Model of Unilateral Nephrectomy and Ischemia-Reperfusion Injury. Rep Biochem Mol Biol. 2025;13(4):579-589. </w:t>
      </w:r>
    </w:p>
    <w:p w14:paraId="1394991A" w14:textId="77777777" w:rsidR="009752F6" w:rsidRDefault="008D7106" w:rsidP="009752F6">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Hewawasam R, Jayatilaka K. Antioxidant effect of crude water extract of Vetiveria zizanioides (Gramineae) in mice with acetaminophen induced hepatotoxicity. Int J Pharmacognosy. 2015; 3:11-20.</w:t>
      </w:r>
    </w:p>
    <w:p w14:paraId="1D1DBB2F" w14:textId="4C8E8BC3" w:rsidR="008D7106" w:rsidRPr="009752F6" w:rsidRDefault="008D7106" w:rsidP="009752F6">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9752F6">
        <w:rPr>
          <w:rFonts w:asciiTheme="majorBidi" w:hAnsiTheme="majorBidi" w:cstheme="majorBidi"/>
          <w:bCs/>
          <w:color w:val="000000" w:themeColor="text1"/>
          <w:spacing w:val="-4"/>
          <w:sz w:val="24"/>
          <w:szCs w:val="24"/>
        </w:rPr>
        <w:t>Amarowicz R, Estrella I, Hernández T, Robredo S, Troszyńska A, Kosińska A, Pegg RB. Free radical-scavenging capacity, antioxidant activity, and phenolic composition of green lentil (Lens culinaris). Food chem. 2010;121(3):705-11.</w:t>
      </w:r>
    </w:p>
    <w:p w14:paraId="18A2B02D" w14:textId="43A32ED1"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 xml:space="preserve">Shariati S, Khodayar MJ, Azadnasab R, Nooshabadi MR, Nikravesh M, Khorsandi L, et al. Epicatechin as a promising agent against arsenic-induced neurobehavioral toxicity in </w:t>
      </w:r>
      <w:r w:rsidRPr="008D7106">
        <w:rPr>
          <w:rFonts w:asciiTheme="majorBidi" w:hAnsiTheme="majorBidi" w:cstheme="majorBidi"/>
          <w:bCs/>
          <w:color w:val="000000" w:themeColor="text1"/>
          <w:spacing w:val="-4"/>
          <w:sz w:val="24"/>
          <w:szCs w:val="24"/>
        </w:rPr>
        <w:lastRenderedPageBreak/>
        <w:t>NMRI mice: behavioral and biochemical alterations. Naunyn Schmiedebergs Arch Pharmacol. 2024;397(12):10143-10153. </w:t>
      </w:r>
    </w:p>
    <w:p w14:paraId="344D675E" w14:textId="6647CE48"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Shariati S, Khodayar MJ, Azadnasab R, Moghtadaei N, Khorsandi L, Shirani M. Protective Effects of Vanillic Acid on Arsenic-Induced Hepatotoxicity and Diabetes in Mice; the Role of PPARγ and NF-κB Signaling. Rep Biochem Mol Biol. 2025;13(4):549-560. </w:t>
      </w:r>
    </w:p>
    <w:p w14:paraId="188363C2" w14:textId="6BC18F7F"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Kaifu K, Ueda S, Nakamura N, Matsui T, Yamada-Obara N, Ando R, Kaida Y, et al. Advanced glycation end products evoke inflammatory reactions in proximal tubular cells via autocrine production of dipeptidyl peptidase-4. Microvasc Res. 2018;120:90-93. </w:t>
      </w:r>
    </w:p>
    <w:p w14:paraId="0396BE74" w14:textId="7BAAF830"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Ishibashi Y, Matsui T, Maeda S, Higashimoto Y, Yamagishi S. Advanced glycation end products evoke endothelial cell damage by stimulating soluble dipeptidyl peptidase-4 production and its interaction with mannose 6-phosphate/insulin-like growth factor II receptor. Cardiovasc Diabetol. 2013;12:125. </w:t>
      </w:r>
    </w:p>
    <w:p w14:paraId="5B1E6C2A" w14:textId="77777777" w:rsidR="001D0047" w:rsidRDefault="008D7106" w:rsidP="00D12DAB">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1D0047">
        <w:rPr>
          <w:rFonts w:asciiTheme="majorBidi" w:hAnsiTheme="majorBidi" w:cstheme="majorBidi"/>
          <w:bCs/>
          <w:color w:val="000000" w:themeColor="text1"/>
          <w:spacing w:val="-4"/>
          <w:sz w:val="24"/>
          <w:szCs w:val="24"/>
        </w:rPr>
        <w:t>Maeda S, Matsui T, Yamagishi S. Vildagliptin inhibits oxidative stress and vascular damage in streptozotocin-induced diabetic rats. Int J Cardiol. 2012;158(1):171-3. </w:t>
      </w:r>
    </w:p>
    <w:p w14:paraId="0244EE88" w14:textId="760C90DD" w:rsidR="009752F6" w:rsidRPr="001D0047" w:rsidRDefault="001D0047" w:rsidP="00D12DAB">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1D0047">
        <w:rPr>
          <w:rFonts w:asciiTheme="majorBidi" w:hAnsiTheme="majorBidi" w:cstheme="majorBidi"/>
          <w:bCs/>
          <w:color w:val="000000" w:themeColor="text1"/>
          <w:spacing w:val="-4"/>
          <w:sz w:val="24"/>
          <w:szCs w:val="24"/>
        </w:rPr>
        <w:br w:type="column"/>
      </w:r>
      <w:r w:rsidR="008D7106" w:rsidRPr="001D0047">
        <w:rPr>
          <w:rFonts w:asciiTheme="majorBidi" w:hAnsiTheme="majorBidi" w:cstheme="majorBidi"/>
          <w:bCs/>
          <w:color w:val="000000" w:themeColor="text1"/>
          <w:spacing w:val="-4"/>
          <w:sz w:val="24"/>
          <w:szCs w:val="24"/>
        </w:rPr>
        <w:t>Mulvihill EE, Varin EM, Ussher JR, Campbell JE, Bang KW, Abdullah T, et al. Inhibition of Dipeptidyl Peptidase-4 Impairs Ventricular Function and Promotes Cardiac Fibrosis in High Fat-Fed Diabetic Mice. Diabetes. 2016;65(3):742-54. </w:t>
      </w:r>
    </w:p>
    <w:p w14:paraId="1ACFD06C" w14:textId="16E8F67E" w:rsidR="008D7106" w:rsidRPr="009752F6" w:rsidRDefault="008D7106" w:rsidP="009752F6">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9752F6">
        <w:rPr>
          <w:rFonts w:asciiTheme="majorBidi" w:hAnsiTheme="majorBidi" w:cstheme="majorBidi"/>
          <w:bCs/>
          <w:color w:val="000000" w:themeColor="text1"/>
          <w:spacing w:val="-4"/>
          <w:sz w:val="24"/>
          <w:szCs w:val="24"/>
        </w:rPr>
        <w:t>Shiheido-Watanabe Y, Maejima Y, Kasama T, Tamura N, Nakagama S, Ito Y, et al. Linagliptin, A Xanthine-Based Dipeptidyl Peptidase-4 Inhibitor, Ameliorates Experimental Autoimmune Myocarditis. JACC Basic Transl Sci. 2021;6(6):527-542.</w:t>
      </w:r>
    </w:p>
    <w:p w14:paraId="317B9148" w14:textId="7B9AE651"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Kwon D, Chung HK, Shin WS, Park YS, Kwon SC, Song JS, Park BG. Toxicological evaluation of dithiocarbamate fungicide mancozeb on the endocrine functions in male rats. Mol Cell Toxicol. 2018;14(1):105-12.</w:t>
      </w:r>
    </w:p>
    <w:p w14:paraId="6C814D06" w14:textId="0082B621" w:rsidR="008D7106" w:rsidRPr="008D7106" w:rsidRDefault="008D7106" w:rsidP="000545C1">
      <w:pPr>
        <w:numPr>
          <w:ilvl w:val="0"/>
          <w:numId w:val="28"/>
        </w:numPr>
        <w:tabs>
          <w:tab w:val="left" w:pos="426"/>
          <w:tab w:val="num" w:pos="720"/>
        </w:tabs>
        <w:spacing w:after="0" w:line="240" w:lineRule="auto"/>
        <w:ind w:left="0" w:firstLine="0"/>
        <w:jc w:val="both"/>
        <w:outlineLvl w:val="0"/>
        <w:rPr>
          <w:rFonts w:asciiTheme="majorBidi" w:hAnsiTheme="majorBidi" w:cstheme="majorBidi"/>
          <w:bCs/>
          <w:color w:val="000000" w:themeColor="text1"/>
          <w:spacing w:val="-4"/>
          <w:sz w:val="24"/>
          <w:szCs w:val="24"/>
        </w:rPr>
      </w:pPr>
      <w:r w:rsidRPr="008D7106">
        <w:rPr>
          <w:rFonts w:asciiTheme="majorBidi" w:hAnsiTheme="majorBidi" w:cstheme="majorBidi"/>
          <w:bCs/>
          <w:color w:val="000000" w:themeColor="text1"/>
          <w:spacing w:val="-4"/>
          <w:sz w:val="24"/>
          <w:szCs w:val="24"/>
        </w:rPr>
        <w:t>Paunkov A, Chartoumpekis DV, Ziros PG, Chondrogianni N, Kensler TW, Sykiotis GP. Impact of Antioxidant Natural Compounds on the Thyroid Gland and Implication of the Keap1/Nrf2 Signaling Pathway. Curr Pharm Des. 2019;25(16):1828-1846.</w:t>
      </w:r>
    </w:p>
    <w:p w14:paraId="3774BF2A" w14:textId="77777777" w:rsidR="008D7106" w:rsidRPr="008D7106" w:rsidRDefault="008D7106" w:rsidP="008D7106">
      <w:pPr>
        <w:tabs>
          <w:tab w:val="left" w:pos="284"/>
        </w:tabs>
        <w:spacing w:after="0" w:line="240" w:lineRule="auto"/>
        <w:jc w:val="both"/>
        <w:outlineLvl w:val="0"/>
        <w:rPr>
          <w:rFonts w:asciiTheme="majorBidi" w:hAnsiTheme="majorBidi" w:cstheme="majorBidi"/>
          <w:bCs/>
          <w:color w:val="000000" w:themeColor="text1"/>
          <w:spacing w:val="-2"/>
          <w:sz w:val="24"/>
          <w:szCs w:val="24"/>
        </w:rPr>
      </w:pPr>
      <w:r w:rsidRPr="008D7106">
        <w:rPr>
          <w:rFonts w:asciiTheme="majorBidi" w:hAnsiTheme="majorBidi" w:cstheme="majorBidi"/>
          <w:bCs/>
          <w:color w:val="000000" w:themeColor="text1"/>
          <w:spacing w:val="-4"/>
          <w:sz w:val="24"/>
          <w:szCs w:val="24"/>
        </w:rPr>
        <w:fldChar w:fldCharType="end"/>
      </w:r>
      <w:r w:rsidRPr="008D7106">
        <w:rPr>
          <w:rFonts w:asciiTheme="majorBidi" w:hAnsiTheme="majorBidi" w:cstheme="majorBidi"/>
          <w:bCs/>
          <w:color w:val="000000" w:themeColor="text1"/>
          <w:spacing w:val="-2"/>
          <w:sz w:val="24"/>
          <w:szCs w:val="24"/>
        </w:rPr>
        <w:fldChar w:fldCharType="begin"/>
      </w:r>
      <w:r w:rsidRPr="008D7106">
        <w:rPr>
          <w:rFonts w:asciiTheme="majorBidi" w:hAnsiTheme="majorBidi" w:cstheme="majorBidi"/>
          <w:bCs/>
          <w:color w:val="000000" w:themeColor="text1"/>
          <w:spacing w:val="-2"/>
          <w:sz w:val="24"/>
          <w:szCs w:val="24"/>
        </w:rPr>
        <w:instrText xml:space="preserve"> ADDIN </w:instrText>
      </w:r>
      <w:r w:rsidRPr="008D7106">
        <w:rPr>
          <w:rFonts w:asciiTheme="majorBidi" w:hAnsiTheme="majorBidi" w:cstheme="majorBidi"/>
          <w:bCs/>
          <w:color w:val="000000" w:themeColor="text1"/>
          <w:spacing w:val="-2"/>
          <w:sz w:val="24"/>
          <w:szCs w:val="24"/>
        </w:rPr>
        <w:fldChar w:fldCharType="end"/>
      </w:r>
    </w:p>
    <w:p w14:paraId="21998AE5" w14:textId="2440AB5C" w:rsidR="00254C68" w:rsidRPr="00AC5CFA" w:rsidRDefault="00254C68" w:rsidP="008D7106">
      <w:pPr>
        <w:tabs>
          <w:tab w:val="left" w:pos="284"/>
        </w:tabs>
        <w:spacing w:after="0" w:line="240" w:lineRule="auto"/>
        <w:jc w:val="both"/>
        <w:outlineLvl w:val="0"/>
        <w:rPr>
          <w:rFonts w:asciiTheme="majorBidi" w:hAnsiTheme="majorBidi" w:cstheme="majorBidi"/>
          <w:color w:val="000000" w:themeColor="text1"/>
          <w:spacing w:val="-4"/>
          <w:sz w:val="24"/>
          <w:szCs w:val="24"/>
        </w:rPr>
      </w:pPr>
    </w:p>
    <w:sectPr w:rsidR="00254C68" w:rsidRPr="00AC5CFA" w:rsidSect="004A75E8">
      <w:type w:val="continuous"/>
      <w:pgSz w:w="11907" w:h="16840" w:code="9"/>
      <w:pgMar w:top="1588" w:right="1134" w:bottom="1588" w:left="1134" w:header="680" w:footer="68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EF397" w14:textId="77777777" w:rsidR="00A47277" w:rsidRDefault="00A47277">
      <w:pPr>
        <w:spacing w:after="0" w:line="240" w:lineRule="auto"/>
      </w:pPr>
      <w:r>
        <w:separator/>
      </w:r>
    </w:p>
  </w:endnote>
  <w:endnote w:type="continuationSeparator" w:id="0">
    <w:p w14:paraId="2B7915A6" w14:textId="77777777" w:rsidR="00A47277" w:rsidRDefault="00A47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4D"/>
    <w:family w:val="swiss"/>
    <w:pitch w:val="variable"/>
    <w:sig w:usb0="00000003" w:usb1="00000000" w:usb2="00000000" w:usb3="00000000" w:csb0="00000003" w:csb1="00000000"/>
  </w:font>
  <w:font w:name="Dutch801BT-Bold">
    <w:altName w:val="Calibri"/>
    <w:panose1 w:val="020B0604020202020204"/>
    <w:charset w:val="00"/>
    <w:family w:val="roman"/>
    <w:pitch w:val="default"/>
    <w:sig w:usb0="00000003" w:usb1="00000000" w:usb2="00000000" w:usb3="00000000" w:csb0="00000001" w:csb1="00000000"/>
  </w:font>
  <w:font w:name="B Nazanin">
    <w:altName w:val="Arial"/>
    <w:panose1 w:val="020B0604020202020204"/>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7475" w14:textId="236AEF92" w:rsidR="00F21745" w:rsidRPr="00D07ABD" w:rsidRDefault="00F21745" w:rsidP="00FD7B4B">
    <w:pPr>
      <w:pStyle w:val="Footer"/>
      <w:framePr w:wrap="around" w:vAnchor="text" w:hAnchor="margin" w:y="1"/>
      <w:rPr>
        <w:rStyle w:val="PageNumber"/>
        <w:rFonts w:ascii="Times New Roman" w:hAnsi="Times New Roman" w:cs="Times New Roman"/>
      </w:rPr>
    </w:pPr>
    <w:r w:rsidRPr="00D07ABD">
      <w:rPr>
        <w:rStyle w:val="PageNumber"/>
        <w:rFonts w:ascii="Times New Roman" w:hAnsi="Times New Roman" w:cs="Times New Roman"/>
      </w:rPr>
      <w:fldChar w:fldCharType="begin"/>
    </w:r>
    <w:r w:rsidRPr="00D07ABD">
      <w:rPr>
        <w:rStyle w:val="PageNumber"/>
        <w:rFonts w:ascii="Times New Roman" w:hAnsi="Times New Roman" w:cs="Times New Roman"/>
      </w:rPr>
      <w:instrText xml:space="preserve">PAGE  </w:instrText>
    </w:r>
    <w:r w:rsidRPr="00D07ABD">
      <w:rPr>
        <w:rStyle w:val="PageNumber"/>
        <w:rFonts w:ascii="Times New Roman" w:hAnsi="Times New Roman" w:cs="Times New Roman"/>
      </w:rPr>
      <w:fldChar w:fldCharType="separate"/>
    </w:r>
    <w:r>
      <w:rPr>
        <w:rStyle w:val="PageNumber"/>
        <w:rFonts w:ascii="Times New Roman" w:hAnsi="Times New Roman" w:cs="Times New Roman"/>
        <w:noProof/>
      </w:rPr>
      <w:t>4</w:t>
    </w:r>
    <w:r w:rsidRPr="00D07ABD">
      <w:rPr>
        <w:rStyle w:val="PageNumber"/>
        <w:rFonts w:ascii="Times New Roman" w:hAnsi="Times New Roman" w:cs="Times New Roman"/>
      </w:rPr>
      <w:fldChar w:fldCharType="end"/>
    </w:r>
  </w:p>
  <w:p w14:paraId="225F7A82" w14:textId="4E3CE8CA" w:rsidR="00F21745" w:rsidRPr="00D07ABD" w:rsidRDefault="00F21745" w:rsidP="00F36755">
    <w:pPr>
      <w:pStyle w:val="Footer"/>
      <w:rPr>
        <w:rFonts w:ascii="Times New Roman" w:hAnsi="Times New Roman" w:cs="Times New Roman"/>
        <w:rtl/>
      </w:rPr>
    </w:pPr>
    <w:r>
      <w:rPr>
        <w:rFonts w:ascii="Times New Roman" w:hAnsi="Times New Roman" w:cs="Times New Roman"/>
      </w:rPr>
      <w:t xml:space="preserve">    </w:t>
    </w:r>
    <w:r w:rsidRPr="00373F64">
      <w:rPr>
        <w:rFonts w:ascii="Times New Roman" w:hAnsi="Times New Roman" w:cs="Times New Roman"/>
      </w:rPr>
      <w:t>Rep. Biochem. Mol. Biol, Vol.</w:t>
    </w:r>
    <w:bookmarkStart w:id="2" w:name="_Hlk58622109"/>
    <w:r>
      <w:rPr>
        <w:rFonts w:ascii="Times New Roman" w:hAnsi="Times New Roman" w:cs="Times New Roman"/>
      </w:rPr>
      <w:t>14</w:t>
    </w:r>
    <w:r w:rsidRPr="00373F64">
      <w:rPr>
        <w:rFonts w:ascii="Times New Roman" w:hAnsi="Times New Roman" w:cs="Times New Roman"/>
      </w:rPr>
      <w:t>, No.</w:t>
    </w:r>
    <w:r w:rsidR="00087649">
      <w:rPr>
        <w:rFonts w:ascii="Times New Roman" w:hAnsi="Times New Roman" w:cs="Times New Roman"/>
      </w:rPr>
      <w:t>2</w:t>
    </w:r>
    <w:r>
      <w:rPr>
        <w:rFonts w:ascii="Times New Roman" w:hAnsi="Times New Roman" w:cs="Times New Roman"/>
      </w:rPr>
      <w:t>,</w:t>
    </w:r>
    <w:r w:rsidRPr="00F5360F">
      <w:rPr>
        <w:rFonts w:ascii="Arial" w:hAnsi="Arial"/>
        <w:sz w:val="18"/>
        <w:szCs w:val="18"/>
      </w:rPr>
      <w:t xml:space="preserve"> </w:t>
    </w:r>
    <w:bookmarkEnd w:id="2"/>
    <w:r w:rsidR="00087649">
      <w:rPr>
        <w:rFonts w:ascii="Times New Roman" w:hAnsi="Times New Roman" w:cs="Times New Roman"/>
      </w:rPr>
      <w:t>Jul</w:t>
    </w:r>
    <w:r>
      <w:rPr>
        <w:rFonts w:ascii="Times New Roman" w:hAnsi="Times New Roman" w:cs="Times New Roman"/>
      </w:rPr>
      <w:t xml:space="preserve"> </w:t>
    </w:r>
    <w:r w:rsidRPr="00F36755">
      <w:rPr>
        <w:rFonts w:ascii="Times New Roman" w:hAnsi="Times New Roman" w:cs="Times New Roman"/>
      </w:rP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A53E" w14:textId="1BC0D0DE" w:rsidR="00F21745" w:rsidRPr="00D07ABD" w:rsidRDefault="00F21745" w:rsidP="00FD7B4B">
    <w:pPr>
      <w:pStyle w:val="Footer"/>
      <w:framePr w:wrap="around" w:vAnchor="text" w:hAnchor="margin" w:xAlign="right" w:y="1"/>
      <w:rPr>
        <w:rStyle w:val="PageNumber"/>
        <w:rFonts w:ascii="Times New Roman" w:hAnsi="Times New Roman" w:cs="Times New Roman"/>
      </w:rPr>
    </w:pPr>
    <w:r w:rsidRPr="00D07ABD">
      <w:rPr>
        <w:rStyle w:val="PageNumber"/>
        <w:rFonts w:ascii="Times New Roman" w:hAnsi="Times New Roman" w:cs="Times New Roman"/>
      </w:rPr>
      <w:fldChar w:fldCharType="begin"/>
    </w:r>
    <w:r w:rsidRPr="00D07ABD">
      <w:rPr>
        <w:rStyle w:val="PageNumber"/>
        <w:rFonts w:ascii="Times New Roman" w:hAnsi="Times New Roman" w:cs="Times New Roman"/>
      </w:rPr>
      <w:instrText xml:space="preserve">PAGE  </w:instrText>
    </w:r>
    <w:r w:rsidRPr="00D07ABD">
      <w:rPr>
        <w:rStyle w:val="PageNumber"/>
        <w:rFonts w:ascii="Times New Roman" w:hAnsi="Times New Roman" w:cs="Times New Roman"/>
      </w:rPr>
      <w:fldChar w:fldCharType="separate"/>
    </w:r>
    <w:r>
      <w:rPr>
        <w:rStyle w:val="PageNumber"/>
        <w:rFonts w:ascii="Times New Roman" w:hAnsi="Times New Roman" w:cs="Times New Roman"/>
        <w:noProof/>
      </w:rPr>
      <w:t>3</w:t>
    </w:r>
    <w:r w:rsidRPr="00D07ABD">
      <w:rPr>
        <w:rStyle w:val="PageNumber"/>
        <w:rFonts w:ascii="Times New Roman" w:hAnsi="Times New Roman" w:cs="Times New Roman"/>
      </w:rPr>
      <w:fldChar w:fldCharType="end"/>
    </w:r>
  </w:p>
  <w:p w14:paraId="746E1B47" w14:textId="2A8AAA24" w:rsidR="00F21745" w:rsidRPr="00D07ABD" w:rsidRDefault="00F21745" w:rsidP="00F36755">
    <w:pPr>
      <w:pStyle w:val="Footer"/>
      <w:bidi/>
      <w:rPr>
        <w:rFonts w:ascii="Times New Roman" w:hAnsi="Times New Roman" w:cs="Times New Roman"/>
        <w:rtl/>
        <w:lang w:bidi="fa-IR"/>
      </w:rPr>
    </w:pPr>
    <w:r>
      <w:rPr>
        <w:rFonts w:ascii="Times New Roman" w:hAnsi="Times New Roman" w:cs="Times New Roman"/>
      </w:rPr>
      <w:t xml:space="preserve">      </w:t>
    </w:r>
    <w:r>
      <w:rPr>
        <w:rFonts w:ascii="Times New Roman" w:hAnsi="Times New Roman" w:cs="Times New Roman"/>
        <w:rtl/>
      </w:rPr>
      <w:t xml:space="preserve"> </w:t>
    </w:r>
    <w:r w:rsidRPr="00373F64">
      <w:rPr>
        <w:rFonts w:ascii="Times New Roman" w:hAnsi="Times New Roman" w:cs="Times New Roman"/>
      </w:rPr>
      <w:t>Rep. Biochem. Mol. Biol, Vol.</w:t>
    </w:r>
    <w:r>
      <w:rPr>
        <w:rFonts w:ascii="Times New Roman" w:hAnsi="Times New Roman" w:cs="Times New Roman"/>
      </w:rPr>
      <w:t>14</w:t>
    </w:r>
    <w:r w:rsidRPr="00F5360F">
      <w:rPr>
        <w:rFonts w:ascii="Times New Roman" w:hAnsi="Times New Roman" w:cs="Times New Roman"/>
      </w:rPr>
      <w:t>, No.</w:t>
    </w:r>
    <w:r>
      <w:rPr>
        <w:rFonts w:ascii="Times New Roman" w:hAnsi="Times New Roman" w:cs="Times New Roman"/>
      </w:rPr>
      <w:t xml:space="preserve"> </w:t>
    </w:r>
    <w:r w:rsidR="00087649">
      <w:rPr>
        <w:rFonts w:ascii="Times New Roman" w:hAnsi="Times New Roman" w:cs="Times New Roman"/>
      </w:rPr>
      <w:t>2</w:t>
    </w:r>
    <w:r w:rsidRPr="00F5360F">
      <w:rPr>
        <w:rFonts w:ascii="Times New Roman" w:hAnsi="Times New Roman" w:cs="Times New Roman"/>
      </w:rPr>
      <w:t xml:space="preserve">, </w:t>
    </w:r>
    <w:r w:rsidR="00087649">
      <w:rPr>
        <w:rFonts w:ascii="Times New Roman" w:hAnsi="Times New Roman" w:cs="Times New Roman"/>
      </w:rPr>
      <w:t>Jul</w:t>
    </w:r>
    <w:r>
      <w:rPr>
        <w:rFonts w:ascii="Times New Roman" w:hAnsi="Times New Roman" w:cs="Times New Roman"/>
      </w:rPr>
      <w:t xml:space="preserve"> 2025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35F8" w14:textId="176CD41A" w:rsidR="00F21745" w:rsidRPr="00822A70" w:rsidRDefault="00A47277" w:rsidP="00E9012E">
    <w:pPr>
      <w:spacing w:after="0" w:line="240" w:lineRule="auto"/>
      <w:jc w:val="both"/>
      <w:rPr>
        <w:b/>
        <w:bCs/>
        <w:i/>
        <w:iCs/>
        <w:spacing w:val="-10"/>
      </w:rPr>
    </w:pPr>
    <w:bookmarkStart w:id="3" w:name="_Hlk304111256"/>
    <w:r>
      <w:rPr>
        <w:b/>
        <w:bCs/>
        <w:i/>
        <w:iCs/>
        <w:noProof/>
        <w:spacing w:val="-10"/>
      </w:rPr>
      <w:pict w14:anchorId="3127366E">
        <v:rect id="_x0000_i1027" alt="" style="width:481.95pt;height:3pt;mso-width-percent:0;mso-height-percent:0;mso-width-percent:0;mso-height-percent:0" o:hralign="center" o:hrstd="t" o:hrnoshade="t" o:hr="t" fillcolor="#0f243e" stroked="f"/>
      </w:pict>
    </w:r>
  </w:p>
  <w:bookmarkEnd w:id="3"/>
  <w:p w14:paraId="02EBB137" w14:textId="77777777" w:rsidR="00312A83" w:rsidRPr="00312A83" w:rsidRDefault="00312A83" w:rsidP="00312A83">
    <w:pPr>
      <w:spacing w:after="0" w:line="240" w:lineRule="auto"/>
      <w:jc w:val="both"/>
      <w:rPr>
        <w:rFonts w:ascii="Times New Roman" w:hAnsi="Times New Roman" w:cs="Times New Roman"/>
        <w:b/>
        <w:bCs/>
        <w:i/>
        <w:iCs/>
        <w:color w:val="000000"/>
      </w:rPr>
    </w:pPr>
    <w:r w:rsidRPr="00312A83">
      <w:rPr>
        <w:rFonts w:ascii="Times New Roman" w:hAnsi="Times New Roman" w:cs="Times New Roman"/>
        <w:b/>
        <w:bCs/>
        <w:i/>
        <w:iCs/>
        <w:color w:val="000000"/>
      </w:rPr>
      <w:t>1: Diabetes Research Center, Health Research Institute, Ahvaz Jundishapur University of Medical Sciences, Ahvaz, Iran.</w:t>
    </w:r>
  </w:p>
  <w:p w14:paraId="26FA4A81" w14:textId="77777777" w:rsidR="00312A83" w:rsidRPr="00312A83" w:rsidRDefault="00312A83" w:rsidP="00312A83">
    <w:pPr>
      <w:spacing w:after="0" w:line="240" w:lineRule="auto"/>
      <w:jc w:val="both"/>
      <w:rPr>
        <w:rFonts w:ascii="Times New Roman" w:hAnsi="Times New Roman" w:cs="Times New Roman"/>
        <w:b/>
        <w:bCs/>
        <w:i/>
        <w:iCs/>
        <w:color w:val="000000"/>
      </w:rPr>
    </w:pPr>
    <w:r w:rsidRPr="00312A83">
      <w:rPr>
        <w:rFonts w:ascii="Times New Roman" w:hAnsi="Times New Roman" w:cs="Times New Roman"/>
        <w:b/>
        <w:bCs/>
        <w:i/>
        <w:iCs/>
        <w:color w:val="000000"/>
      </w:rPr>
      <w:t>2: Toxicology</w:t>
    </w:r>
    <w:r w:rsidRPr="00312A83">
      <w:rPr>
        <w:rFonts w:ascii="Times New Roman" w:hAnsi="Times New Roman" w:cs="Times New Roman"/>
        <w:b/>
        <w:bCs/>
        <w:i/>
        <w:iCs/>
        <w:color w:val="000000"/>
      </w:rPr>
      <w:tab/>
      <w:t>Research Center, Medical Basic Sciences Research Institute, Ahvaz Jundishapur University of Medical Sciences, Iran.</w:t>
    </w:r>
  </w:p>
  <w:p w14:paraId="6B08F363" w14:textId="7FD2D419" w:rsidR="00312A83" w:rsidRPr="00312A83" w:rsidRDefault="00312A83" w:rsidP="00312A83">
    <w:pPr>
      <w:spacing w:after="0" w:line="240" w:lineRule="auto"/>
      <w:jc w:val="both"/>
      <w:rPr>
        <w:rFonts w:ascii="Times New Roman" w:hAnsi="Times New Roman" w:cs="Times New Roman"/>
        <w:b/>
        <w:bCs/>
        <w:i/>
        <w:iCs/>
        <w:color w:val="000000"/>
        <w:rtl/>
      </w:rPr>
    </w:pPr>
    <w:r w:rsidRPr="00312A83">
      <w:rPr>
        <w:rFonts w:ascii="Times New Roman" w:hAnsi="Times New Roman" w:cs="Times New Roman"/>
        <w:b/>
        <w:bCs/>
        <w:i/>
        <w:iCs/>
        <w:color w:val="000000"/>
      </w:rPr>
      <w:t xml:space="preserve">3: Cancer, Environmental and Petroleum Pollutants Research Center, Ahvaz Jundishapur University of Medical Sciences, Ahvaz, Iran &amp; Department of Pathology, Faculty of </w:t>
    </w:r>
    <w:r w:rsidR="009752F6">
      <w:rPr>
        <w:rFonts w:ascii="Times New Roman" w:hAnsi="Times New Roman" w:cs="Times New Roman"/>
        <w:b/>
        <w:bCs/>
        <w:i/>
        <w:iCs/>
        <w:color w:val="000000"/>
      </w:rPr>
      <w:t>M</w:t>
    </w:r>
    <w:r w:rsidRPr="00312A83">
      <w:rPr>
        <w:rFonts w:ascii="Times New Roman" w:hAnsi="Times New Roman" w:cs="Times New Roman"/>
        <w:b/>
        <w:bCs/>
        <w:i/>
        <w:iCs/>
        <w:color w:val="000000"/>
      </w:rPr>
      <w:t xml:space="preserve">edicine, Ahvaz Jundishapur University of Medical Sciences, Ahvaz, Iran. </w:t>
    </w:r>
  </w:p>
  <w:p w14:paraId="0AF1029E" w14:textId="151257D0" w:rsidR="00312A83" w:rsidRPr="00312A83" w:rsidRDefault="00F21745" w:rsidP="00312A83">
    <w:pPr>
      <w:spacing w:after="0" w:line="240" w:lineRule="auto"/>
      <w:jc w:val="both"/>
      <w:rPr>
        <w:rFonts w:ascii="Times New Roman" w:hAnsi="Times New Roman" w:cs="Times New Roman"/>
        <w:b/>
        <w:bCs/>
        <w:color w:val="000000"/>
      </w:rPr>
    </w:pPr>
    <w:r w:rsidRPr="007B580C">
      <w:rPr>
        <w:rFonts w:ascii="Times New Roman" w:hAnsi="Times New Roman" w:cs="Times New Roman"/>
        <w:b/>
        <w:bCs/>
        <w:color w:val="000000"/>
        <w:spacing w:val="-8"/>
      </w:rPr>
      <w:t>*</w:t>
    </w:r>
    <w:r w:rsidRPr="00102AFC">
      <w:rPr>
        <w:rFonts w:ascii="Times New Roman" w:hAnsi="Times New Roman" w:cs="Times New Roman"/>
        <w:b/>
        <w:bCs/>
        <w:color w:val="000000"/>
      </w:rPr>
      <w:t>Corresponding author</w:t>
    </w:r>
    <w:r w:rsidR="00BC2592">
      <w:rPr>
        <w:rFonts w:ascii="Times New Roman" w:hAnsi="Times New Roman" w:cs="Times New Roman"/>
        <w:b/>
        <w:bCs/>
        <w:color w:val="000000"/>
      </w:rPr>
      <w:t>s</w:t>
    </w:r>
    <w:r w:rsidRPr="00102AFC">
      <w:rPr>
        <w:rFonts w:ascii="Times New Roman" w:hAnsi="Times New Roman" w:cs="Times New Roman"/>
        <w:b/>
        <w:bCs/>
        <w:color w:val="000000"/>
      </w:rPr>
      <w:t xml:space="preserve">: </w:t>
    </w:r>
    <w:r w:rsidR="00312A83" w:rsidRPr="00CB65EF">
      <w:rPr>
        <w:rFonts w:ascii="Times New Roman" w:hAnsi="Times New Roman" w:cs="Times New Roman"/>
        <w:b/>
        <w:bCs/>
        <w:iCs/>
        <w:color w:val="000000"/>
      </w:rPr>
      <w:t>Mehrnoosh Zakerkish</w:t>
    </w:r>
    <w:r w:rsidRPr="00102AFC">
      <w:rPr>
        <w:rFonts w:ascii="Times New Roman" w:hAnsi="Times New Roman" w:cs="Times New Roman"/>
        <w:b/>
        <w:bCs/>
        <w:color w:val="000000"/>
      </w:rPr>
      <w:t xml:space="preserve">; </w:t>
    </w:r>
    <w:r w:rsidRPr="00DA505F">
      <w:rPr>
        <w:rFonts w:ascii="Times New Roman" w:hAnsi="Times New Roman" w:cs="Times New Roman"/>
        <w:b/>
        <w:bCs/>
        <w:color w:val="000000"/>
      </w:rPr>
      <w:t>E-</w:t>
    </w:r>
    <w:r w:rsidRPr="00BD7E46">
      <w:rPr>
        <w:rFonts w:ascii="Times New Roman" w:hAnsi="Times New Roman" w:cs="Times New Roman"/>
        <w:b/>
        <w:bCs/>
        <w:color w:val="000000"/>
      </w:rPr>
      <w:t>mail</w:t>
    </w:r>
    <w:r w:rsidRPr="00DC4184">
      <w:rPr>
        <w:rFonts w:ascii="Times New Roman" w:hAnsi="Times New Roman" w:cs="Times New Roman"/>
        <w:b/>
        <w:bCs/>
        <w:color w:val="000000"/>
      </w:rPr>
      <w:t xml:space="preserve">: </w:t>
    </w:r>
    <w:r w:rsidR="00312A83" w:rsidRPr="00312A83">
      <w:rPr>
        <w:rFonts w:ascii="Times New Roman" w:hAnsi="Times New Roman" w:cs="Times New Roman"/>
        <w:b/>
        <w:bCs/>
        <w:color w:val="000000"/>
      </w:rPr>
      <w:t>zakerkish­m@ajums.ac.ir</w:t>
    </w:r>
    <w:r w:rsidR="00312A83">
      <w:rPr>
        <w:rFonts w:ascii="Times New Roman" w:hAnsi="Times New Roman" w:cs="Times New Roman"/>
        <w:b/>
        <w:bCs/>
        <w:color w:val="000000"/>
      </w:rPr>
      <w:t>.</w:t>
    </w:r>
  </w:p>
  <w:p w14:paraId="592A7CB3" w14:textId="1BA3AFB9" w:rsidR="00F21745" w:rsidRPr="000473C0" w:rsidRDefault="00F21745" w:rsidP="0068560A">
    <w:pPr>
      <w:spacing w:after="0" w:line="240" w:lineRule="auto"/>
      <w:jc w:val="both"/>
      <w:rPr>
        <w:rFonts w:ascii="Times New Roman" w:eastAsia="Times New Roman" w:hAnsi="Times New Roman" w:cs="Times New Roman"/>
        <w:color w:val="000000"/>
      </w:rPr>
    </w:pPr>
    <w:r w:rsidRPr="00CF53D1">
      <w:rPr>
        <w:rFonts w:ascii="Times New Roman" w:hAnsi="Times New Roman" w:cs="Times New Roman"/>
      </w:rPr>
      <w:t xml:space="preserve">Received: </w:t>
    </w:r>
    <w:r w:rsidR="00E262F8">
      <w:rPr>
        <w:rFonts w:ascii="Times New Roman" w:hAnsi="Times New Roman" w:cs="Times New Roman"/>
      </w:rPr>
      <w:t>30</w:t>
    </w:r>
    <w:r w:rsidRPr="00CF53D1">
      <w:rPr>
        <w:rFonts w:ascii="Times New Roman" w:hAnsi="Times New Roman" w:cs="Times New Roman"/>
      </w:rPr>
      <w:t xml:space="preserve"> </w:t>
    </w:r>
    <w:r w:rsidR="00E262F8">
      <w:rPr>
        <w:rFonts w:ascii="Times New Roman" w:hAnsi="Times New Roman" w:cs="Times New Roman"/>
      </w:rPr>
      <w:t>Oct</w:t>
    </w:r>
    <w:r w:rsidRPr="00CF53D1">
      <w:rPr>
        <w:rFonts w:ascii="Times New Roman" w:hAnsi="Times New Roman" w:cs="Times New Roman"/>
      </w:rPr>
      <w:t xml:space="preserve">, </w:t>
    </w:r>
    <w:r>
      <w:rPr>
        <w:rFonts w:ascii="Times New Roman" w:hAnsi="Times New Roman" w:cs="Times New Roman"/>
      </w:rPr>
      <w:t>2025</w:t>
    </w:r>
    <w:r w:rsidRPr="00CF53D1">
      <w:rPr>
        <w:rFonts w:ascii="Times New Roman" w:hAnsi="Times New Roman" w:cs="Times New Roman"/>
      </w:rPr>
      <w:t xml:space="preserve">; Accepted: </w:t>
    </w:r>
    <w:r w:rsidR="00E262F8">
      <w:rPr>
        <w:rFonts w:ascii="Times New Roman" w:hAnsi="Times New Roman" w:cs="Times New Roman"/>
      </w:rPr>
      <w:t>1</w:t>
    </w:r>
    <w:r w:rsidRPr="00CF53D1">
      <w:rPr>
        <w:rFonts w:ascii="Times New Roman" w:hAnsi="Times New Roman" w:cs="Times New Roman"/>
      </w:rPr>
      <w:t xml:space="preserve"> </w:t>
    </w:r>
    <w:r w:rsidR="00E262F8">
      <w:rPr>
        <w:rFonts w:ascii="Times New Roman" w:hAnsi="Times New Roman" w:cs="Times New Roman"/>
      </w:rPr>
      <w:t>Feb</w:t>
    </w:r>
    <w:r w:rsidRPr="00CF53D1">
      <w:rPr>
        <w:rFonts w:ascii="Times New Roman" w:hAnsi="Times New Roman" w:cs="Times New Roman"/>
      </w:rPr>
      <w:t xml:space="preserve">, </w:t>
    </w:r>
    <w:r>
      <w:rPr>
        <w:rFonts w:ascii="Times New Roman" w:hAnsi="Times New Roman" w:cs="Times New Roman"/>
      </w:rPr>
      <w:t>202</w:t>
    </w:r>
    <w:r w:rsidR="00E262F8">
      <w:rPr>
        <w:rFonts w:ascii="Times New Roman" w:hAnsi="Times New Roman" w:cs="Times New Roma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6B71" w14:textId="77777777" w:rsidR="00A47277" w:rsidRDefault="00A47277">
      <w:pPr>
        <w:spacing w:after="0" w:line="240" w:lineRule="auto"/>
      </w:pPr>
      <w:r>
        <w:separator/>
      </w:r>
    </w:p>
  </w:footnote>
  <w:footnote w:type="continuationSeparator" w:id="0">
    <w:p w14:paraId="3FF43768" w14:textId="77777777" w:rsidR="00A47277" w:rsidRDefault="00A47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2C54" w14:textId="490B8A46" w:rsidR="00F21745" w:rsidRPr="00884C5C" w:rsidRDefault="000545C1" w:rsidP="000545C1">
    <w:pPr>
      <w:pStyle w:val="Header"/>
      <w:jc w:val="center"/>
      <w:rPr>
        <w:rFonts w:ascii="Times New Roman" w:hAnsi="Times New Roman" w:cs="Times New Roman"/>
        <w:b/>
        <w:bCs/>
        <w:lang w:bidi="fa-IR"/>
      </w:rPr>
    </w:pPr>
    <w:r w:rsidRPr="00CB65EF">
      <w:rPr>
        <w:rFonts w:ascii="Times New Roman" w:hAnsi="Times New Roman" w:cs="Times New Roman"/>
        <w:b/>
        <w:bCs/>
        <w:iCs/>
      </w:rPr>
      <w:t>Mostafavi</w:t>
    </w:r>
    <w:r w:rsidRPr="000545C1">
      <w:rPr>
        <w:rFonts w:ascii="Times New Roman" w:hAnsi="Times New Roman" w:cs="Times New Roman"/>
        <w:b/>
        <w:bCs/>
        <w:iCs/>
      </w:rPr>
      <w:t xml:space="preserve"> </w:t>
    </w:r>
    <w:r>
      <w:rPr>
        <w:rFonts w:ascii="Times New Roman" w:hAnsi="Times New Roman" w:cs="Times New Roman"/>
        <w:b/>
        <w:bCs/>
        <w:iCs/>
      </w:rPr>
      <w:t>S</w:t>
    </w:r>
    <w:r w:rsidR="00DC4184">
      <w:rPr>
        <w:rFonts w:ascii="Times New Roman" w:hAnsi="Times New Roman" w:cs="Times New Roman"/>
        <w:b/>
        <w:bCs/>
        <w:iCs/>
      </w:rPr>
      <w:t xml:space="preserve"> </w:t>
    </w:r>
    <w:r w:rsidR="00641174" w:rsidRPr="005C5AA0">
      <w:rPr>
        <w:rFonts w:ascii="Times New Roman" w:hAnsi="Times New Roman" w:cs="Times New Roman"/>
        <w:b/>
        <w:bCs/>
        <w:i/>
      </w:rPr>
      <w:t>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F747" w14:textId="0EB8058D" w:rsidR="007F2896" w:rsidRPr="00CB65EF" w:rsidRDefault="00CB65EF" w:rsidP="00CB65EF">
    <w:pPr>
      <w:pStyle w:val="Header"/>
      <w:jc w:val="center"/>
    </w:pPr>
    <w:r w:rsidRPr="00CB65EF">
      <w:rPr>
        <w:rFonts w:ascii="Times New Roman" w:hAnsi="Times New Roman" w:cs="Times New Roman"/>
        <w:b/>
        <w:bCs/>
        <w:color w:val="000000"/>
      </w:rPr>
      <w:t>Protective of Linagliptin of Thyroid Dysfunction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A954" w14:textId="07325DD6" w:rsidR="00F21745" w:rsidRPr="00A76B4B" w:rsidRDefault="00F21745" w:rsidP="00FD7B4B">
    <w:pPr>
      <w:pStyle w:val="Footer"/>
      <w:tabs>
        <w:tab w:val="clear" w:pos="9360"/>
        <w:tab w:val="right" w:pos="8647"/>
        <w:tab w:val="left" w:pos="9356"/>
      </w:tabs>
      <w:rPr>
        <w:rFonts w:ascii="Arial" w:hAnsi="Arial"/>
        <w:sz w:val="18"/>
        <w:szCs w:val="18"/>
        <w:rtl/>
      </w:rPr>
    </w:pPr>
    <w:r>
      <w:rPr>
        <w:noProof/>
        <w:lang w:val="en-GB" w:eastAsia="en-GB"/>
      </w:rPr>
      <mc:AlternateContent>
        <mc:Choice Requires="wps">
          <w:drawing>
            <wp:anchor distT="0" distB="0" distL="114300" distR="114300" simplePos="0" relativeHeight="251658240" behindDoc="0" locked="0" layoutInCell="1" allowOverlap="1" wp14:anchorId="764DD7F7" wp14:editId="270BB52E">
              <wp:simplePos x="0" y="0"/>
              <wp:positionH relativeFrom="column">
                <wp:posOffset>5293995</wp:posOffset>
              </wp:positionH>
              <wp:positionV relativeFrom="paragraph">
                <wp:posOffset>-262890</wp:posOffset>
              </wp:positionV>
              <wp:extent cx="826770" cy="659130"/>
              <wp:effectExtent l="0" t="0" r="0" b="7620"/>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659130"/>
                      </a:xfrm>
                      <a:prstGeom prst="roundRect">
                        <a:avLst>
                          <a:gd name="adj" fmla="val 16667"/>
                        </a:avLst>
                      </a:prstGeom>
                      <a:solidFill>
                        <a:srgbClr val="FFFFFF"/>
                      </a:solidFill>
                      <a:ln w="9525">
                        <a:solidFill>
                          <a:srgbClr val="FFFFFF"/>
                        </a:solidFill>
                        <a:round/>
                        <a:headEnd/>
                        <a:tailEnd/>
                      </a:ln>
                    </wps:spPr>
                    <wps:txbx>
                      <w:txbxContent>
                        <w:p w14:paraId="5583E7AC" w14:textId="57DBFAA4" w:rsidR="00F21745" w:rsidRDefault="00F21745" w:rsidP="00FD7B4B">
                          <w:r w:rsidRPr="00172A32">
                            <w:rPr>
                              <w:rFonts w:ascii="Arial" w:hAnsi="Arial"/>
                              <w:noProof/>
                              <w:lang w:val="en-GB" w:eastAsia="en-GB"/>
                            </w:rPr>
                            <w:drawing>
                              <wp:inline distT="0" distB="0" distL="0" distR="0" wp14:anchorId="340C3AD9" wp14:editId="1B4597C4">
                                <wp:extent cx="523875" cy="523875"/>
                                <wp:effectExtent l="0" t="0" r="0" b="0"/>
                                <wp:docPr id="1" name="Picture 1" descr="Description: header-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eader-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4DD7F7" id="AutoShape 4" o:spid="_x0000_s1026" style="position:absolute;margin-left:416.85pt;margin-top:-20.7pt;width:65.1pt;height:5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XYjIAIAAEQEAAAOAAAAZHJzL2Uyb0RvYy54bWysU9uO0zAQfUfiHyy/0zSlTbdR09WqSxHS&#13;&#10;chELH+DYTmJwPMZ2m3S/nonTli68IEQerJmM58yZM+P1bd9qcpDOKzAFTSdTSqThIJSpC/r1y+7V&#13;&#10;DSU+MCOYBiMLepSe3m5evlh3NpczaEAL6QiCGJ93tqBNCDZPEs8b2TI/ASsNBitwLQvoujoRjnWI&#13;&#10;3upkNp1mSQdOWAdceo9/78cg3UT8qpI8fKwqLwPRBUVuIZ4unuVwJps1y2vHbKP4iQb7BxYtUwaL&#13;&#10;XqDuWWBk79QfUK3iDjxUYcKhTaCqFJexB+wmnf7WzWPDrIy9oDjeXmTy/w+Wfzg82k9uoO7tA/Dv&#13;&#10;nhjYNszU8s456BrJBJZLB6GSzvr8kjA4HlNJ2b0HgaNl+wBRg75y7QCI3ZE+Sn28SC37QDj+vJll&#13;&#10;yyUOhGMoW6zS13EUCcvPydb58FZCSwajoA72RnzGccYK7PDgQ5RbEMPaobj4RknVahzegWmSZlm2&#13;&#10;jJxZfrqM2GfM2C1oJXZK6+i4utxqRzC1oLv4nZL99TVtSFfQ1WK2iCyexfzfQcQ+4tINyr4xItqB&#13;&#10;KT3ayFKbk9SDusMi+zz0ZY8XB7MEcUTRHYyrjE8PjQbcEyUdrnFB/Y89c5IS/c7g4FbpfD7sfXTm&#13;&#10;i+UMHXcdKa8jzHCEKmigZDS3YXwre+tU3WClNHZu4A6HXalw3oqR1Yk3ripaz97CtR9v/Xr8m58A&#13;&#10;AAD//wMAUEsDBBQABgAIAAAAIQBvzgtX4wAAAA8BAAAPAAAAZHJzL2Rvd25yZXYueG1sTE9NT4NA&#13;&#10;EL2b9D9spom3dqEQLJShMRCNBy+2Jl4XdgtYdpaw2xb99a4nvUzyMu8z3896YFc12d4QQrgOgClq&#13;&#10;jOypRXg/Pq22wKwTJMVgSCF8KQv7YnGXi0yaG72p68G1zJuQzQRC59yYcW6bTmlh12ZU5H8nM2nh&#13;&#10;PJxaLidx8+Z64JsgSLgWPfmEToyq7FRzPlw0gnxNq+eyKc/1S/Bx+qTw+M3rCvF+OVc7fx53wJya&#13;&#10;3Z8Cfjf4/lD4YrW5kLRsQNhG0YOnIqziMAbmGWkSpcBqhGQTAy9y/n9H8QMAAP//AwBQSwECLQAU&#13;&#10;AAYACAAAACEAtoM4kv4AAADhAQAAEwAAAAAAAAAAAAAAAAAAAAAAW0NvbnRlbnRfVHlwZXNdLnht&#13;&#10;bFBLAQItABQABgAIAAAAIQA4/SH/1gAAAJQBAAALAAAAAAAAAAAAAAAAAC8BAABfcmVscy8ucmVs&#13;&#10;c1BLAQItABQABgAIAAAAIQAtUXYjIAIAAEQEAAAOAAAAAAAAAAAAAAAAAC4CAABkcnMvZTJvRG9j&#13;&#10;LnhtbFBLAQItABQABgAIAAAAIQBvzgtX4wAAAA8BAAAPAAAAAAAAAAAAAAAAAHoEAABkcnMvZG93&#13;&#10;bnJldi54bWxQSwUGAAAAAAQABADzAAAAigUAAAAA&#13;&#10;" strokecolor="white">
              <v:textbox>
                <w:txbxContent>
                  <w:p w14:paraId="5583E7AC" w14:textId="57DBFAA4" w:rsidR="00F21745" w:rsidRDefault="00F21745" w:rsidP="00FD7B4B">
                    <w:r w:rsidRPr="00172A32">
                      <w:rPr>
                        <w:rFonts w:ascii="Arial" w:hAnsi="Arial"/>
                        <w:noProof/>
                        <w:lang w:val="en-GB" w:eastAsia="en-GB"/>
                      </w:rPr>
                      <w:drawing>
                        <wp:inline distT="0" distB="0" distL="0" distR="0" wp14:anchorId="340C3AD9" wp14:editId="1B4597C4">
                          <wp:extent cx="523875" cy="523875"/>
                          <wp:effectExtent l="0" t="0" r="0" b="0"/>
                          <wp:docPr id="1" name="Picture 1" descr="Description: header-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eader-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xbxContent>
              </v:textbox>
            </v:roundrect>
          </w:pict>
        </mc:Fallback>
      </mc:AlternateContent>
    </w:r>
    <w:r>
      <w:rPr>
        <w:rFonts w:ascii="Arial" w:hAnsi="Arial"/>
        <w:sz w:val="18"/>
        <w:szCs w:val="18"/>
      </w:rPr>
      <w:t xml:space="preserve">Reports of Biochemistry &amp; Molecular Biology  </w:t>
    </w:r>
  </w:p>
  <w:p w14:paraId="193AEE4F" w14:textId="5C93D3F6" w:rsidR="00F21745" w:rsidRPr="00373F64" w:rsidRDefault="00F21745" w:rsidP="00F36755">
    <w:pPr>
      <w:pStyle w:val="Footer"/>
      <w:tabs>
        <w:tab w:val="clear" w:pos="9360"/>
        <w:tab w:val="right" w:pos="8647"/>
        <w:tab w:val="left" w:pos="9356"/>
      </w:tabs>
      <w:rPr>
        <w:rFonts w:ascii="Arial" w:hAnsi="Arial"/>
        <w:sz w:val="18"/>
        <w:szCs w:val="18"/>
      </w:rPr>
    </w:pPr>
    <w:r w:rsidRPr="00373F64">
      <w:rPr>
        <w:rFonts w:ascii="Arial" w:hAnsi="Arial"/>
        <w:sz w:val="18"/>
        <w:szCs w:val="18"/>
      </w:rPr>
      <w:t>Vol.</w:t>
    </w:r>
    <w:r>
      <w:rPr>
        <w:rFonts w:ascii="Arial" w:hAnsi="Arial"/>
        <w:sz w:val="18"/>
        <w:szCs w:val="18"/>
      </w:rPr>
      <w:t>14</w:t>
    </w:r>
    <w:r w:rsidRPr="00373F64">
      <w:rPr>
        <w:rFonts w:ascii="Arial" w:hAnsi="Arial"/>
        <w:sz w:val="18"/>
        <w:szCs w:val="18"/>
      </w:rPr>
      <w:t>, No.</w:t>
    </w:r>
    <w:r w:rsidR="00087649">
      <w:rPr>
        <w:rFonts w:ascii="Arial" w:hAnsi="Arial"/>
        <w:sz w:val="18"/>
        <w:szCs w:val="18"/>
      </w:rPr>
      <w:t>2</w:t>
    </w:r>
    <w:r w:rsidRPr="00373F64">
      <w:rPr>
        <w:rFonts w:ascii="Arial" w:hAnsi="Arial"/>
        <w:sz w:val="18"/>
        <w:szCs w:val="18"/>
      </w:rPr>
      <w:t>,</w:t>
    </w:r>
    <w:r w:rsidRPr="0076213D">
      <w:rPr>
        <w:rFonts w:ascii="Arial" w:hAnsi="Arial"/>
        <w:sz w:val="18"/>
        <w:szCs w:val="18"/>
      </w:rPr>
      <w:t xml:space="preserve"> </w:t>
    </w:r>
    <w:r w:rsidR="00087649">
      <w:rPr>
        <w:rFonts w:ascii="Arial" w:hAnsi="Arial"/>
        <w:sz w:val="18"/>
        <w:szCs w:val="18"/>
      </w:rPr>
      <w:t>Jul</w:t>
    </w:r>
    <w:r>
      <w:rPr>
        <w:rFonts w:ascii="Arial" w:hAnsi="Arial"/>
        <w:sz w:val="18"/>
        <w:szCs w:val="18"/>
      </w:rPr>
      <w:t xml:space="preserve"> 2025</w:t>
    </w:r>
  </w:p>
  <w:p w14:paraId="04D50AAB" w14:textId="2DF25105" w:rsidR="00F21745" w:rsidRPr="00D57F97" w:rsidRDefault="00F21745" w:rsidP="00FD7B4B">
    <w:pPr>
      <w:pStyle w:val="Header"/>
      <w:rPr>
        <w:rFonts w:ascii="Arial" w:hAnsi="Arial"/>
        <w:sz w:val="18"/>
        <w:szCs w:val="18"/>
        <w:rtl/>
      </w:rPr>
    </w:pPr>
    <w:r>
      <w:rPr>
        <w:noProof/>
        <w:lang w:val="en-GB" w:eastAsia="en-GB"/>
      </w:rPr>
      <mc:AlternateContent>
        <mc:Choice Requires="wps">
          <w:drawing>
            <wp:anchor distT="0" distB="0" distL="114300" distR="114300" simplePos="0" relativeHeight="251657216" behindDoc="0" locked="0" layoutInCell="1" allowOverlap="1" wp14:anchorId="23630F46" wp14:editId="4EF84F18">
              <wp:simplePos x="0" y="0"/>
              <wp:positionH relativeFrom="column">
                <wp:posOffset>5071110</wp:posOffset>
              </wp:positionH>
              <wp:positionV relativeFrom="paragraph">
                <wp:posOffset>76835</wp:posOffset>
              </wp:positionV>
              <wp:extent cx="1525905" cy="276225"/>
              <wp:effectExtent l="0" t="0" r="17145" b="2857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905" cy="276225"/>
                      </a:xfrm>
                      <a:prstGeom prst="rect">
                        <a:avLst/>
                      </a:prstGeom>
                      <a:solidFill>
                        <a:srgbClr val="FFFFFF"/>
                      </a:solidFill>
                      <a:ln w="9525">
                        <a:solidFill>
                          <a:srgbClr val="FFFFFF"/>
                        </a:solidFill>
                        <a:miter lim="800000"/>
                        <a:headEnd/>
                        <a:tailEnd/>
                      </a:ln>
                    </wps:spPr>
                    <wps:txbx>
                      <w:txbxContent>
                        <w:p w14:paraId="120E2B90" w14:textId="77777777" w:rsidR="00F21745" w:rsidRPr="00140DF1" w:rsidRDefault="00F21745" w:rsidP="00D20F83">
                          <w:pPr>
                            <w:spacing w:after="0" w:line="240" w:lineRule="auto"/>
                          </w:pPr>
                          <w:r w:rsidRPr="00140DF1">
                            <w:rPr>
                              <w:rFonts w:ascii="Arial" w:hAnsi="Arial"/>
                              <w:b/>
                              <w:bCs/>
                              <w:color w:val="000000"/>
                            </w:rPr>
                            <w:t>www.RBMB.net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30F46" id="Rectangle 3" o:spid="_x0000_s1027" style="position:absolute;margin-left:399.3pt;margin-top:6.05pt;width:120.1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JYdEAIAACgEAAAOAAAAZHJzL2Uyb0RvYy54bWysU9uO2yAQfa/Uf0C8N46tZHdjxVmtsk1V&#13;&#10;aXuRtv0AgrGNihk6kNjbr+9AvNm0famq8oAYBg5nzhzWt2Nv2FGh12Arns/mnCkroda2rfjXL7s3&#13;&#10;N5z5IGwtDFhV8Sfl+e3m9av14EpVQAemVsgIxPpycBXvQnBllnnZqV74GThlKdkA9iJQiG1WoxgI&#13;&#10;vTdZMZ9fZQNg7RCk8p52709Jvkn4TaNk+NQ0XgVmKk7cQpoxzfs4Z5u1KFsUrtNyoiH+gUUvtKVH&#13;&#10;z1D3Igh2QP0HVK8lgocmzCT0GTSNlirVQNXk89+qeeyEU6kWEse7s0z+/8HKj8dH9xkjde8eQH7z&#13;&#10;zMK2E7ZVd4gwdErU9FwehcoG58vzhRh4usr2wweoqbXiECBpMDbYR0Cqjo1J6qez1GoMTNJmviyW&#13;&#10;q/mSM0m54vqqKJbpCVE+33bowzsFPYuLiiO1MqGL44MPkY0on48k9mB0vdPGpADb/dYgOwpq+y6N&#13;&#10;Cd1fHjOWDRVfEZWE/EvO/x1ErwP51+i+4jfzOE6OirK9tXVyVxDanNZE2dhJxyhddKkvw7gfma4n&#13;&#10;kePOHuonEhbhZFf6XrToAH9wNpBVK+6/HwQqzsx7S81Z5YtF9HYKFsvrggK8zOwvM8JKgqp44Oy0&#13;&#10;3IbTfzg41G1HL+VJDQt31NBGJ61fWE30yY6pBdPXiX6/jNOplw+++QkAAP//AwBQSwMEFAAGAAgA&#13;&#10;AAAhALk8mp/iAAAADwEAAA8AAABkcnMvZG93bnJldi54bWxMT01PwkAQvZv4HzZj4k22oJRSuiUK&#13;&#10;NVw8IOh92B3bxv1ougsUf73LSS8vmbw376NYDkazE/W+dVbAeJQAIyudam0t4GP/+pAB8wGtQu0s&#13;&#10;CbiQh2V5e1NgrtzZvtNpF2oWTazPUUATQpdz7mVDBv3IdWQj9+V6gyGefc1Vj+dobjSfJEnKDbY2&#13;&#10;JjTY0aoh+b07GgFbxPX2ZyPlS3V5e6po9VmR00Lc3w3rRYTnBbBAQ/j7gOuG2B/KWOzgjlZ5pgXM&#13;&#10;5lkapZGYjIFdBcljNgd2EDCdpsDLgv/fUf4CAAD//wMAUEsBAi0AFAAGAAgAAAAhALaDOJL+AAAA&#13;&#10;4QEAABMAAAAAAAAAAAAAAAAAAAAAAFtDb250ZW50X1R5cGVzXS54bWxQSwECLQAUAAYACAAAACEA&#13;&#10;OP0h/9YAAACUAQAACwAAAAAAAAAAAAAAAAAvAQAAX3JlbHMvLnJlbHNQSwECLQAUAAYACAAAACEA&#13;&#10;3gCWHRACAAAoBAAADgAAAAAAAAAAAAAAAAAuAgAAZHJzL2Uyb0RvYy54bWxQSwECLQAUAAYACAAA&#13;&#10;ACEAuTyan+IAAAAPAQAADwAAAAAAAAAAAAAAAABqBAAAZHJzL2Rvd25yZXYueG1sUEsFBgAAAAAE&#13;&#10;AAQA8wAAAHkFAAAAAA==&#13;&#10;" strokecolor="white">
              <v:textbox>
                <w:txbxContent>
                  <w:p w14:paraId="120E2B90" w14:textId="77777777" w:rsidR="00F21745" w:rsidRPr="00140DF1" w:rsidRDefault="00F21745" w:rsidP="00D20F83">
                    <w:pPr>
                      <w:spacing w:after="0" w:line="240" w:lineRule="auto"/>
                    </w:pPr>
                    <w:r w:rsidRPr="00140DF1">
                      <w:rPr>
                        <w:rFonts w:ascii="Arial" w:hAnsi="Arial"/>
                        <w:b/>
                        <w:bCs/>
                        <w:color w:val="000000"/>
                      </w:rPr>
                      <w:t>www.RBMB.net</w:t>
                    </w:r>
                  </w:p>
                </w:txbxContent>
              </v:textbox>
            </v:rect>
          </w:pict>
        </mc:Fallback>
      </mc:AlternateContent>
    </w:r>
  </w:p>
  <w:p w14:paraId="7C06FDE9" w14:textId="77777777" w:rsidR="00F21745" w:rsidRPr="00D07ABD" w:rsidRDefault="00F21745" w:rsidP="00883209">
    <w:pPr>
      <w:spacing w:after="0"/>
      <w:rPr>
        <w:rFonts w:ascii="Times New Roman" w:hAnsi="Times New Roman" w:cs="Times New Roman"/>
        <w:b/>
        <w:bCs/>
        <w:i/>
        <w:iCs/>
        <w:lang w:bidi="fa-IR"/>
      </w:rPr>
    </w:pPr>
    <w:r>
      <w:rPr>
        <w:rFonts w:ascii="Times New Roman" w:hAnsi="Times New Roman" w:cs="Times New Roman"/>
        <w:b/>
        <w:bCs/>
        <w:i/>
        <w:iCs/>
        <w:lang w:bidi="fa-IR"/>
      </w:rPr>
      <w:t>Original</w:t>
    </w:r>
    <w:r w:rsidRPr="00883209">
      <w:rPr>
        <w:rFonts w:ascii="Times New Roman" w:hAnsi="Times New Roman" w:cs="Times New Roman"/>
        <w:b/>
        <w:bCs/>
        <w:i/>
        <w:iCs/>
        <w:lang w:bidi="fa-IR"/>
      </w:rPr>
      <w:t xml:space="preserve"> </w:t>
    </w:r>
    <w:r w:rsidRPr="00D07ABD">
      <w:rPr>
        <w:rFonts w:ascii="Times New Roman" w:hAnsi="Times New Roman" w:cs="Times New Roman"/>
        <w:b/>
        <w:bCs/>
        <w:i/>
        <w:iCs/>
        <w:lang w:bidi="fa-IR"/>
      </w:rPr>
      <w:t>article</w:t>
    </w:r>
  </w:p>
  <w:p w14:paraId="3347D1E6" w14:textId="18F6B34A" w:rsidR="00F21745" w:rsidRPr="00D07ABD" w:rsidRDefault="00A47277" w:rsidP="00FD7B4B">
    <w:pPr>
      <w:pStyle w:val="Header"/>
      <w:rPr>
        <w:rFonts w:ascii="Times New Roman" w:hAnsi="Times New Roman" w:cs="Times New Roman"/>
      </w:rPr>
    </w:pPr>
    <w:r>
      <w:rPr>
        <w:rFonts w:ascii="Times New Roman" w:hAnsi="Times New Roman" w:cs="Times New Roman"/>
        <w:noProof/>
      </w:rPr>
      <w:pict w14:anchorId="71D0EE55">
        <v:rect id="_x0000_i1028" alt="" style="width:481.95pt;height:3pt;mso-width-percent:0;mso-height-percent:0;mso-width-percent:0;mso-height-percent:0" o:hralign="center" o:hrstd="t" o:hrnoshade="t" o:hr="t" fillcolor="#0f243e"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D1E94A"/>
    <w:multiLevelType w:val="singleLevel"/>
    <w:tmpl w:val="87D1E94A"/>
    <w:lvl w:ilvl="0">
      <w:start w:val="1"/>
      <w:numFmt w:val="decimal"/>
      <w:suff w:val="space"/>
      <w:lvlText w:val="%1."/>
      <w:lvlJc w:val="left"/>
    </w:lvl>
  </w:abstractNum>
  <w:abstractNum w:abstractNumId="1" w15:restartNumberingAfterBreak="0">
    <w:nsid w:val="01E268B1"/>
    <w:multiLevelType w:val="hybridMultilevel"/>
    <w:tmpl w:val="6C7C7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06334"/>
    <w:multiLevelType w:val="hybridMultilevel"/>
    <w:tmpl w:val="AB02EF82"/>
    <w:lvl w:ilvl="0" w:tplc="0409000F">
      <w:start w:val="1"/>
      <w:numFmt w:val="decimal"/>
      <w:lvlText w:val="%1."/>
      <w:lvlJc w:val="left"/>
      <w:pPr>
        <w:ind w:left="928"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15:restartNumberingAfterBreak="0">
    <w:nsid w:val="0380711B"/>
    <w:multiLevelType w:val="hybridMultilevel"/>
    <w:tmpl w:val="F2E264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E62311"/>
    <w:multiLevelType w:val="hybridMultilevel"/>
    <w:tmpl w:val="17AEDA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8E60948"/>
    <w:multiLevelType w:val="multilevel"/>
    <w:tmpl w:val="EEB8A780"/>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57EDC"/>
    <w:multiLevelType w:val="multilevel"/>
    <w:tmpl w:val="2802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93BEC"/>
    <w:multiLevelType w:val="hybridMultilevel"/>
    <w:tmpl w:val="FA5434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5A17C6"/>
    <w:multiLevelType w:val="singleLevel"/>
    <w:tmpl w:val="225A17C6"/>
    <w:lvl w:ilvl="0">
      <w:start w:val="1"/>
      <w:numFmt w:val="decimal"/>
      <w:lvlText w:val="%1."/>
      <w:lvlJc w:val="left"/>
      <w:pPr>
        <w:ind w:left="425" w:hanging="425"/>
      </w:pPr>
      <w:rPr>
        <w:rFonts w:hint="default"/>
        <w:b w:val="0"/>
        <w:bCs w:val="0"/>
      </w:rPr>
    </w:lvl>
  </w:abstractNum>
  <w:abstractNum w:abstractNumId="9" w15:restartNumberingAfterBreak="0">
    <w:nsid w:val="250A245F"/>
    <w:multiLevelType w:val="hybridMultilevel"/>
    <w:tmpl w:val="29E20A30"/>
    <w:lvl w:ilvl="0" w:tplc="1AF444CE">
      <w:start w:val="1"/>
      <w:numFmt w:val="decimal"/>
      <w:pStyle w:val="MDPI71References"/>
      <w:lvlText w:val="%1."/>
      <w:lvlJc w:val="left"/>
      <w:pPr>
        <w:ind w:left="-3615" w:hanging="420"/>
      </w:pPr>
      <w:rPr>
        <w:rFonts w:hint="default"/>
      </w:rPr>
    </w:lvl>
    <w:lvl w:ilvl="1" w:tplc="08090019" w:tentative="1">
      <w:start w:val="1"/>
      <w:numFmt w:val="lowerLetter"/>
      <w:lvlText w:val="%2."/>
      <w:lvlJc w:val="left"/>
      <w:pPr>
        <w:ind w:left="-295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1515" w:hanging="360"/>
      </w:pPr>
    </w:lvl>
    <w:lvl w:ilvl="4" w:tplc="08090019" w:tentative="1">
      <w:start w:val="1"/>
      <w:numFmt w:val="lowerLetter"/>
      <w:lvlText w:val="%5."/>
      <w:lvlJc w:val="left"/>
      <w:pPr>
        <w:ind w:left="-795" w:hanging="360"/>
      </w:pPr>
    </w:lvl>
    <w:lvl w:ilvl="5" w:tplc="0809001B" w:tentative="1">
      <w:start w:val="1"/>
      <w:numFmt w:val="lowerRoman"/>
      <w:lvlText w:val="%6."/>
      <w:lvlJc w:val="right"/>
      <w:pPr>
        <w:ind w:left="-75" w:hanging="180"/>
      </w:pPr>
    </w:lvl>
    <w:lvl w:ilvl="6" w:tplc="0809000F" w:tentative="1">
      <w:start w:val="1"/>
      <w:numFmt w:val="decimal"/>
      <w:lvlText w:val="%7."/>
      <w:lvlJc w:val="left"/>
      <w:pPr>
        <w:ind w:left="645" w:hanging="360"/>
      </w:pPr>
    </w:lvl>
    <w:lvl w:ilvl="7" w:tplc="08090019" w:tentative="1">
      <w:start w:val="1"/>
      <w:numFmt w:val="lowerLetter"/>
      <w:lvlText w:val="%8."/>
      <w:lvlJc w:val="left"/>
      <w:pPr>
        <w:ind w:left="1365" w:hanging="360"/>
      </w:pPr>
    </w:lvl>
    <w:lvl w:ilvl="8" w:tplc="0809001B" w:tentative="1">
      <w:start w:val="1"/>
      <w:numFmt w:val="lowerRoman"/>
      <w:lvlText w:val="%9."/>
      <w:lvlJc w:val="right"/>
      <w:pPr>
        <w:ind w:left="2085" w:hanging="180"/>
      </w:pPr>
    </w:lvl>
  </w:abstractNum>
  <w:abstractNum w:abstractNumId="10"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28225FD5"/>
    <w:multiLevelType w:val="hybridMultilevel"/>
    <w:tmpl w:val="795C6010"/>
    <w:lvl w:ilvl="0" w:tplc="0409000F">
      <w:start w:val="1"/>
      <w:numFmt w:val="decimal"/>
      <w:lvlText w:val="%1."/>
      <w:lvlJc w:val="left"/>
      <w:pPr>
        <w:ind w:left="795" w:hanging="360"/>
      </w:pPr>
    </w:lvl>
    <w:lvl w:ilvl="1" w:tplc="04090019">
      <w:start w:val="1"/>
      <w:numFmt w:val="lowerLetter"/>
      <w:lvlText w:val="%2."/>
      <w:lvlJc w:val="left"/>
      <w:pPr>
        <w:ind w:left="1515" w:hanging="360"/>
      </w:pPr>
    </w:lvl>
    <w:lvl w:ilvl="2" w:tplc="0409001B">
      <w:start w:val="1"/>
      <w:numFmt w:val="lowerRoman"/>
      <w:lvlText w:val="%3."/>
      <w:lvlJc w:val="right"/>
      <w:pPr>
        <w:ind w:left="2235" w:hanging="180"/>
      </w:pPr>
    </w:lvl>
    <w:lvl w:ilvl="3" w:tplc="0409000F">
      <w:start w:val="1"/>
      <w:numFmt w:val="decimal"/>
      <w:lvlText w:val="%4."/>
      <w:lvlJc w:val="left"/>
      <w:pPr>
        <w:ind w:left="2955" w:hanging="360"/>
      </w:pPr>
    </w:lvl>
    <w:lvl w:ilvl="4" w:tplc="04090019">
      <w:start w:val="1"/>
      <w:numFmt w:val="lowerLetter"/>
      <w:lvlText w:val="%5."/>
      <w:lvlJc w:val="left"/>
      <w:pPr>
        <w:ind w:left="3675" w:hanging="360"/>
      </w:pPr>
    </w:lvl>
    <w:lvl w:ilvl="5" w:tplc="0409001B">
      <w:start w:val="1"/>
      <w:numFmt w:val="lowerRoman"/>
      <w:lvlText w:val="%6."/>
      <w:lvlJc w:val="right"/>
      <w:pPr>
        <w:ind w:left="4395" w:hanging="180"/>
      </w:pPr>
    </w:lvl>
    <w:lvl w:ilvl="6" w:tplc="0409000F">
      <w:start w:val="1"/>
      <w:numFmt w:val="decimal"/>
      <w:lvlText w:val="%7."/>
      <w:lvlJc w:val="left"/>
      <w:pPr>
        <w:ind w:left="5115" w:hanging="360"/>
      </w:pPr>
    </w:lvl>
    <w:lvl w:ilvl="7" w:tplc="04090019">
      <w:start w:val="1"/>
      <w:numFmt w:val="lowerLetter"/>
      <w:lvlText w:val="%8."/>
      <w:lvlJc w:val="left"/>
      <w:pPr>
        <w:ind w:left="5835" w:hanging="360"/>
      </w:pPr>
    </w:lvl>
    <w:lvl w:ilvl="8" w:tplc="0409001B">
      <w:start w:val="1"/>
      <w:numFmt w:val="lowerRoman"/>
      <w:lvlText w:val="%9."/>
      <w:lvlJc w:val="right"/>
      <w:pPr>
        <w:ind w:left="6555" w:hanging="180"/>
      </w:pPr>
    </w:lvl>
  </w:abstractNum>
  <w:abstractNum w:abstractNumId="12" w15:restartNumberingAfterBreak="0">
    <w:nsid w:val="333B28D1"/>
    <w:multiLevelType w:val="hybridMultilevel"/>
    <w:tmpl w:val="5C082BB6"/>
    <w:lvl w:ilvl="0" w:tplc="6BA8653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6F74DD0"/>
    <w:multiLevelType w:val="multilevel"/>
    <w:tmpl w:val="D2DA7952"/>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5" w15:restartNumberingAfterBreak="0">
    <w:nsid w:val="398D24B7"/>
    <w:multiLevelType w:val="multilevel"/>
    <w:tmpl w:val="99804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353786"/>
    <w:multiLevelType w:val="hybridMultilevel"/>
    <w:tmpl w:val="6EF89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F86B10"/>
    <w:multiLevelType w:val="hybridMultilevel"/>
    <w:tmpl w:val="71F43BC6"/>
    <w:lvl w:ilvl="0" w:tplc="6EDC50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F3263A"/>
    <w:multiLevelType w:val="hybridMultilevel"/>
    <w:tmpl w:val="7D083D4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58C4E59"/>
    <w:multiLevelType w:val="hybridMultilevel"/>
    <w:tmpl w:val="D56623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AA402B"/>
    <w:multiLevelType w:val="hybridMultilevel"/>
    <w:tmpl w:val="EDC8C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4F7ED5"/>
    <w:multiLevelType w:val="hybridMultilevel"/>
    <w:tmpl w:val="8F6E1A24"/>
    <w:lvl w:ilvl="0" w:tplc="0409000F">
      <w:start w:val="1"/>
      <w:numFmt w:val="decimal"/>
      <w:lvlText w:val="%1."/>
      <w:lvlJc w:val="left"/>
      <w:pPr>
        <w:ind w:left="4755" w:hanging="360"/>
      </w:pPr>
    </w:lvl>
    <w:lvl w:ilvl="1" w:tplc="04090019" w:tentative="1">
      <w:start w:val="1"/>
      <w:numFmt w:val="lowerLetter"/>
      <w:lvlText w:val="%2."/>
      <w:lvlJc w:val="left"/>
      <w:pPr>
        <w:ind w:left="5267" w:hanging="360"/>
      </w:pPr>
    </w:lvl>
    <w:lvl w:ilvl="2" w:tplc="0409001B" w:tentative="1">
      <w:start w:val="1"/>
      <w:numFmt w:val="lowerRoman"/>
      <w:lvlText w:val="%3."/>
      <w:lvlJc w:val="right"/>
      <w:pPr>
        <w:ind w:left="5987" w:hanging="180"/>
      </w:pPr>
    </w:lvl>
    <w:lvl w:ilvl="3" w:tplc="0409000F" w:tentative="1">
      <w:start w:val="1"/>
      <w:numFmt w:val="decimal"/>
      <w:lvlText w:val="%4."/>
      <w:lvlJc w:val="left"/>
      <w:pPr>
        <w:ind w:left="6707" w:hanging="360"/>
      </w:pPr>
    </w:lvl>
    <w:lvl w:ilvl="4" w:tplc="04090019" w:tentative="1">
      <w:start w:val="1"/>
      <w:numFmt w:val="lowerLetter"/>
      <w:lvlText w:val="%5."/>
      <w:lvlJc w:val="left"/>
      <w:pPr>
        <w:ind w:left="7427" w:hanging="360"/>
      </w:pPr>
    </w:lvl>
    <w:lvl w:ilvl="5" w:tplc="0409001B" w:tentative="1">
      <w:start w:val="1"/>
      <w:numFmt w:val="lowerRoman"/>
      <w:lvlText w:val="%6."/>
      <w:lvlJc w:val="right"/>
      <w:pPr>
        <w:ind w:left="8147" w:hanging="180"/>
      </w:pPr>
    </w:lvl>
    <w:lvl w:ilvl="6" w:tplc="0409000F" w:tentative="1">
      <w:start w:val="1"/>
      <w:numFmt w:val="decimal"/>
      <w:lvlText w:val="%7."/>
      <w:lvlJc w:val="left"/>
      <w:pPr>
        <w:ind w:left="8867" w:hanging="360"/>
      </w:pPr>
    </w:lvl>
    <w:lvl w:ilvl="7" w:tplc="04090019" w:tentative="1">
      <w:start w:val="1"/>
      <w:numFmt w:val="lowerLetter"/>
      <w:lvlText w:val="%8."/>
      <w:lvlJc w:val="left"/>
      <w:pPr>
        <w:ind w:left="9587" w:hanging="360"/>
      </w:pPr>
    </w:lvl>
    <w:lvl w:ilvl="8" w:tplc="0409001B" w:tentative="1">
      <w:start w:val="1"/>
      <w:numFmt w:val="lowerRoman"/>
      <w:lvlText w:val="%9."/>
      <w:lvlJc w:val="right"/>
      <w:pPr>
        <w:ind w:left="10307" w:hanging="180"/>
      </w:pPr>
    </w:lvl>
  </w:abstractNum>
  <w:abstractNum w:abstractNumId="22" w15:restartNumberingAfterBreak="0">
    <w:nsid w:val="4DC12D13"/>
    <w:multiLevelType w:val="hybridMultilevel"/>
    <w:tmpl w:val="E3747422"/>
    <w:lvl w:ilvl="0" w:tplc="25DCB5E6">
      <w:start w:val="1"/>
      <w:numFmt w:val="decimal"/>
      <w:lvlText w:val="%1."/>
      <w:lvlJc w:val="left"/>
      <w:pPr>
        <w:ind w:left="720" w:hanging="360"/>
      </w:pPr>
      <w:rPr>
        <w:rFonts w:ascii="Times New Roman" w:hAnsi="Times New Roman" w:cs="Times New Roman" w:hint="default"/>
        <w:color w:val="00000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2C1794"/>
    <w:multiLevelType w:val="hybridMultilevel"/>
    <w:tmpl w:val="7D083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A9561D"/>
    <w:multiLevelType w:val="hybridMultilevel"/>
    <w:tmpl w:val="0FB296BC"/>
    <w:lvl w:ilvl="0" w:tplc="25DCB5E6">
      <w:start w:val="1"/>
      <w:numFmt w:val="decimal"/>
      <w:lvlText w:val="%1."/>
      <w:lvlJc w:val="left"/>
      <w:pPr>
        <w:ind w:left="720" w:hanging="360"/>
      </w:pPr>
      <w:rPr>
        <w:rFonts w:ascii="Times New Roman" w:hAnsi="Times New Roman" w:cs="Times New Roman" w:hint="default"/>
        <w:color w:val="00000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9D279D"/>
    <w:multiLevelType w:val="multilevel"/>
    <w:tmpl w:val="EBB2C7C2"/>
    <w:lvl w:ilvl="0">
      <w:start w:val="1"/>
      <w:numFmt w:val="decimal"/>
      <w:lvlText w:val="%1."/>
      <w:lvlJc w:val="left"/>
      <w:pPr>
        <w:ind w:left="4755" w:hanging="360"/>
      </w:pPr>
      <w:rPr>
        <w:vertAlign w:val="baseline"/>
      </w:rPr>
    </w:lvl>
    <w:lvl w:ilvl="1">
      <w:start w:val="1"/>
      <w:numFmt w:val="bullet"/>
      <w:lvlText w:val="o"/>
      <w:lvlJc w:val="left"/>
      <w:pPr>
        <w:ind w:left="5475" w:hanging="360"/>
      </w:pPr>
      <w:rPr>
        <w:rFonts w:ascii="Courier New" w:eastAsia="Courier New" w:hAnsi="Courier New" w:cs="Courier New"/>
        <w:vertAlign w:val="baseline"/>
      </w:rPr>
    </w:lvl>
    <w:lvl w:ilvl="2">
      <w:start w:val="1"/>
      <w:numFmt w:val="bullet"/>
      <w:lvlText w:val="▪"/>
      <w:lvlJc w:val="left"/>
      <w:pPr>
        <w:ind w:left="6195" w:hanging="360"/>
      </w:pPr>
      <w:rPr>
        <w:rFonts w:ascii="Noto Sans Symbols" w:eastAsia="Noto Sans Symbols" w:hAnsi="Noto Sans Symbols" w:cs="Noto Sans Symbols"/>
        <w:vertAlign w:val="baseline"/>
      </w:rPr>
    </w:lvl>
    <w:lvl w:ilvl="3">
      <w:start w:val="1"/>
      <w:numFmt w:val="bullet"/>
      <w:lvlText w:val="●"/>
      <w:lvlJc w:val="left"/>
      <w:pPr>
        <w:ind w:left="6915" w:hanging="360"/>
      </w:pPr>
      <w:rPr>
        <w:rFonts w:ascii="Noto Sans Symbols" w:eastAsia="Noto Sans Symbols" w:hAnsi="Noto Sans Symbols" w:cs="Noto Sans Symbols"/>
        <w:vertAlign w:val="baseline"/>
      </w:rPr>
    </w:lvl>
    <w:lvl w:ilvl="4">
      <w:start w:val="1"/>
      <w:numFmt w:val="bullet"/>
      <w:lvlText w:val="o"/>
      <w:lvlJc w:val="left"/>
      <w:pPr>
        <w:ind w:left="7635" w:hanging="360"/>
      </w:pPr>
      <w:rPr>
        <w:rFonts w:ascii="Courier New" w:eastAsia="Courier New" w:hAnsi="Courier New" w:cs="Courier New"/>
        <w:vertAlign w:val="baseline"/>
      </w:rPr>
    </w:lvl>
    <w:lvl w:ilvl="5">
      <w:start w:val="1"/>
      <w:numFmt w:val="bullet"/>
      <w:lvlText w:val="▪"/>
      <w:lvlJc w:val="left"/>
      <w:pPr>
        <w:ind w:left="8355" w:hanging="360"/>
      </w:pPr>
      <w:rPr>
        <w:rFonts w:ascii="Noto Sans Symbols" w:eastAsia="Noto Sans Symbols" w:hAnsi="Noto Sans Symbols" w:cs="Noto Sans Symbols"/>
        <w:vertAlign w:val="baseline"/>
      </w:rPr>
    </w:lvl>
    <w:lvl w:ilvl="6">
      <w:start w:val="1"/>
      <w:numFmt w:val="bullet"/>
      <w:lvlText w:val="●"/>
      <w:lvlJc w:val="left"/>
      <w:pPr>
        <w:ind w:left="9075" w:hanging="360"/>
      </w:pPr>
      <w:rPr>
        <w:rFonts w:ascii="Noto Sans Symbols" w:eastAsia="Noto Sans Symbols" w:hAnsi="Noto Sans Symbols" w:cs="Noto Sans Symbols"/>
        <w:vertAlign w:val="baseline"/>
      </w:rPr>
    </w:lvl>
    <w:lvl w:ilvl="7">
      <w:start w:val="1"/>
      <w:numFmt w:val="bullet"/>
      <w:lvlText w:val="o"/>
      <w:lvlJc w:val="left"/>
      <w:pPr>
        <w:ind w:left="9795" w:hanging="360"/>
      </w:pPr>
      <w:rPr>
        <w:rFonts w:ascii="Courier New" w:eastAsia="Courier New" w:hAnsi="Courier New" w:cs="Courier New"/>
        <w:vertAlign w:val="baseline"/>
      </w:rPr>
    </w:lvl>
    <w:lvl w:ilvl="8">
      <w:start w:val="1"/>
      <w:numFmt w:val="bullet"/>
      <w:lvlText w:val="▪"/>
      <w:lvlJc w:val="left"/>
      <w:pPr>
        <w:ind w:left="10515" w:hanging="360"/>
      </w:pPr>
      <w:rPr>
        <w:rFonts w:ascii="Noto Sans Symbols" w:eastAsia="Noto Sans Symbols" w:hAnsi="Noto Sans Symbols" w:cs="Noto Sans Symbols"/>
        <w:vertAlign w:val="baseline"/>
      </w:rPr>
    </w:lvl>
  </w:abstractNum>
  <w:abstractNum w:abstractNumId="26" w15:restartNumberingAfterBreak="0">
    <w:nsid w:val="61DB4E98"/>
    <w:multiLevelType w:val="hybridMultilevel"/>
    <w:tmpl w:val="5BBCAA8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62AB75AF"/>
    <w:multiLevelType w:val="hybridMultilevel"/>
    <w:tmpl w:val="0B1EBD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F07002"/>
    <w:multiLevelType w:val="hybridMultilevel"/>
    <w:tmpl w:val="7D083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2B44F7"/>
    <w:multiLevelType w:val="hybridMultilevel"/>
    <w:tmpl w:val="FA1462DC"/>
    <w:lvl w:ilvl="0" w:tplc="1C6A5E32">
      <w:start w:val="1"/>
      <w:numFmt w:val="decimal"/>
      <w:lvlText w:val="%1."/>
      <w:lvlJc w:val="left"/>
      <w:pPr>
        <w:ind w:left="643" w:hanging="360"/>
      </w:pPr>
      <w:rPr>
        <w:rFonts w:asciiTheme="majorBidi" w:eastAsiaTheme="minorEastAsia" w:hAnsiTheme="majorBidi" w:cstheme="majorBidi"/>
        <w:i w:val="0"/>
        <w:i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CCD0FC4"/>
    <w:multiLevelType w:val="multilevel"/>
    <w:tmpl w:val="016281BE"/>
    <w:lvl w:ilvl="0">
      <w:start w:val="17"/>
      <w:numFmt w:val="decimal"/>
      <w:lvlText w:val="%1"/>
      <w:lvlJc w:val="left"/>
      <w:pPr>
        <w:ind w:left="500" w:hanging="500"/>
      </w:pPr>
      <w:rPr>
        <w:rFonts w:hint="default"/>
        <w:color w:val="000000"/>
      </w:rPr>
    </w:lvl>
    <w:lvl w:ilvl="1">
      <w:start w:val="80"/>
      <w:numFmt w:val="decimal"/>
      <w:lvlText w:val="%1.%2"/>
      <w:lvlJc w:val="left"/>
      <w:pPr>
        <w:ind w:left="500" w:hanging="50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999387248">
    <w:abstractNumId w:val="10"/>
  </w:num>
  <w:num w:numId="2" w16cid:durableId="863591190">
    <w:abstractNumId w:val="13"/>
  </w:num>
  <w:num w:numId="3" w16cid:durableId="1365447382">
    <w:abstractNumId w:val="9"/>
  </w:num>
  <w:num w:numId="4" w16cid:durableId="1823890934">
    <w:abstractNumId w:val="21"/>
  </w:num>
  <w:num w:numId="5" w16cid:durableId="595093816">
    <w:abstractNumId w:val="2"/>
  </w:num>
  <w:num w:numId="6" w16cid:durableId="1492138277">
    <w:abstractNumId w:val="14"/>
  </w:num>
  <w:num w:numId="7" w16cid:durableId="6084404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3129281">
    <w:abstractNumId w:val="23"/>
  </w:num>
  <w:num w:numId="9" w16cid:durableId="1946575470">
    <w:abstractNumId w:val="18"/>
  </w:num>
  <w:num w:numId="10" w16cid:durableId="592318028">
    <w:abstractNumId w:val="28"/>
  </w:num>
  <w:num w:numId="11" w16cid:durableId="613560266">
    <w:abstractNumId w:val="24"/>
  </w:num>
  <w:num w:numId="12" w16cid:durableId="2140801257">
    <w:abstractNumId w:val="22"/>
  </w:num>
  <w:num w:numId="13" w16cid:durableId="1482304966">
    <w:abstractNumId w:val="25"/>
  </w:num>
  <w:num w:numId="14" w16cid:durableId="3897729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032367">
    <w:abstractNumId w:val="0"/>
  </w:num>
  <w:num w:numId="16" w16cid:durableId="2010522983">
    <w:abstractNumId w:val="17"/>
  </w:num>
  <w:num w:numId="17" w16cid:durableId="1503200934">
    <w:abstractNumId w:val="1"/>
  </w:num>
  <w:num w:numId="18" w16cid:durableId="1675841057">
    <w:abstractNumId w:val="16"/>
  </w:num>
  <w:num w:numId="19" w16cid:durableId="63266271">
    <w:abstractNumId w:val="26"/>
  </w:num>
  <w:num w:numId="20" w16cid:durableId="309596712">
    <w:abstractNumId w:val="20"/>
  </w:num>
  <w:num w:numId="21" w16cid:durableId="1226069084">
    <w:abstractNumId w:val="12"/>
  </w:num>
  <w:num w:numId="22" w16cid:durableId="1256478176">
    <w:abstractNumId w:val="30"/>
  </w:num>
  <w:num w:numId="23" w16cid:durableId="887688908">
    <w:abstractNumId w:val="4"/>
  </w:num>
  <w:num w:numId="24" w16cid:durableId="1298218383">
    <w:abstractNumId w:val="19"/>
  </w:num>
  <w:num w:numId="25" w16cid:durableId="355694730">
    <w:abstractNumId w:val="3"/>
  </w:num>
  <w:num w:numId="26" w16cid:durableId="533689927">
    <w:abstractNumId w:val="27"/>
  </w:num>
  <w:num w:numId="27" w16cid:durableId="442576431">
    <w:abstractNumId w:val="7"/>
  </w:num>
  <w:num w:numId="28" w16cid:durableId="1391463756">
    <w:abstractNumId w:val="8"/>
  </w:num>
  <w:num w:numId="29" w16cid:durableId="1841191048">
    <w:abstractNumId w:val="15"/>
  </w:num>
  <w:num w:numId="30" w16cid:durableId="1973831008">
    <w:abstractNumId w:val="5"/>
  </w:num>
  <w:num w:numId="31" w16cid:durableId="95325270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xMDS2MDA3MzE2NjVR0lEKTi0uzszPAykwrgUAeJrO3iwAAAA="/>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44C5F"/>
    <w:rsid w:val="0000067B"/>
    <w:rsid w:val="000007C5"/>
    <w:rsid w:val="00001B9C"/>
    <w:rsid w:val="000024A3"/>
    <w:rsid w:val="0000369A"/>
    <w:rsid w:val="000039B1"/>
    <w:rsid w:val="00006E96"/>
    <w:rsid w:val="00007D81"/>
    <w:rsid w:val="00012E81"/>
    <w:rsid w:val="00014CA6"/>
    <w:rsid w:val="00015027"/>
    <w:rsid w:val="00015E06"/>
    <w:rsid w:val="00015E57"/>
    <w:rsid w:val="00015EEF"/>
    <w:rsid w:val="000165B2"/>
    <w:rsid w:val="00016F8C"/>
    <w:rsid w:val="00016FA0"/>
    <w:rsid w:val="00017CC6"/>
    <w:rsid w:val="00021A57"/>
    <w:rsid w:val="00021FA6"/>
    <w:rsid w:val="000222CF"/>
    <w:rsid w:val="000237F6"/>
    <w:rsid w:val="00023AF6"/>
    <w:rsid w:val="0002587E"/>
    <w:rsid w:val="0002654D"/>
    <w:rsid w:val="0003050C"/>
    <w:rsid w:val="00031A20"/>
    <w:rsid w:val="00031AE0"/>
    <w:rsid w:val="00031C8D"/>
    <w:rsid w:val="0003206E"/>
    <w:rsid w:val="00033F66"/>
    <w:rsid w:val="00040AF5"/>
    <w:rsid w:val="00041B08"/>
    <w:rsid w:val="000431DD"/>
    <w:rsid w:val="00043498"/>
    <w:rsid w:val="00043FEC"/>
    <w:rsid w:val="0004403A"/>
    <w:rsid w:val="000442E8"/>
    <w:rsid w:val="00044901"/>
    <w:rsid w:val="00044D6B"/>
    <w:rsid w:val="00046694"/>
    <w:rsid w:val="000469F2"/>
    <w:rsid w:val="0004724A"/>
    <w:rsid w:val="0004734F"/>
    <w:rsid w:val="000473C0"/>
    <w:rsid w:val="00047606"/>
    <w:rsid w:val="00047988"/>
    <w:rsid w:val="00047E31"/>
    <w:rsid w:val="00050701"/>
    <w:rsid w:val="00050D55"/>
    <w:rsid w:val="00052F99"/>
    <w:rsid w:val="00053834"/>
    <w:rsid w:val="000538B3"/>
    <w:rsid w:val="000545C1"/>
    <w:rsid w:val="00054D96"/>
    <w:rsid w:val="000564B2"/>
    <w:rsid w:val="00057A6B"/>
    <w:rsid w:val="00061F46"/>
    <w:rsid w:val="00062198"/>
    <w:rsid w:val="00062A36"/>
    <w:rsid w:val="00062DA2"/>
    <w:rsid w:val="0006412B"/>
    <w:rsid w:val="000641E3"/>
    <w:rsid w:val="000653E1"/>
    <w:rsid w:val="000662F6"/>
    <w:rsid w:val="0007066A"/>
    <w:rsid w:val="000708EA"/>
    <w:rsid w:val="00071C75"/>
    <w:rsid w:val="000724E8"/>
    <w:rsid w:val="00072E76"/>
    <w:rsid w:val="000743D7"/>
    <w:rsid w:val="00074781"/>
    <w:rsid w:val="00075175"/>
    <w:rsid w:val="00075899"/>
    <w:rsid w:val="00080B50"/>
    <w:rsid w:val="0008101F"/>
    <w:rsid w:val="000829CC"/>
    <w:rsid w:val="00084270"/>
    <w:rsid w:val="000842BE"/>
    <w:rsid w:val="00084665"/>
    <w:rsid w:val="0008563D"/>
    <w:rsid w:val="0008695C"/>
    <w:rsid w:val="000873F8"/>
    <w:rsid w:val="00087649"/>
    <w:rsid w:val="0009119F"/>
    <w:rsid w:val="000929A8"/>
    <w:rsid w:val="0009455F"/>
    <w:rsid w:val="000A08D6"/>
    <w:rsid w:val="000A199F"/>
    <w:rsid w:val="000A381C"/>
    <w:rsid w:val="000A48A1"/>
    <w:rsid w:val="000A4CD5"/>
    <w:rsid w:val="000A4F89"/>
    <w:rsid w:val="000A535A"/>
    <w:rsid w:val="000A7666"/>
    <w:rsid w:val="000B0454"/>
    <w:rsid w:val="000B07DD"/>
    <w:rsid w:val="000B0861"/>
    <w:rsid w:val="000B09F7"/>
    <w:rsid w:val="000B0C72"/>
    <w:rsid w:val="000B194D"/>
    <w:rsid w:val="000B1B27"/>
    <w:rsid w:val="000B3494"/>
    <w:rsid w:val="000B3827"/>
    <w:rsid w:val="000B496F"/>
    <w:rsid w:val="000B7461"/>
    <w:rsid w:val="000B76A8"/>
    <w:rsid w:val="000C07E6"/>
    <w:rsid w:val="000C1454"/>
    <w:rsid w:val="000C15A9"/>
    <w:rsid w:val="000C484C"/>
    <w:rsid w:val="000C537F"/>
    <w:rsid w:val="000C64F7"/>
    <w:rsid w:val="000C6D6C"/>
    <w:rsid w:val="000D15B8"/>
    <w:rsid w:val="000D1DF1"/>
    <w:rsid w:val="000D2183"/>
    <w:rsid w:val="000D3505"/>
    <w:rsid w:val="000D397A"/>
    <w:rsid w:val="000D430A"/>
    <w:rsid w:val="000D4587"/>
    <w:rsid w:val="000D480F"/>
    <w:rsid w:val="000D4961"/>
    <w:rsid w:val="000D4AD8"/>
    <w:rsid w:val="000D639B"/>
    <w:rsid w:val="000D7E1B"/>
    <w:rsid w:val="000D7FE3"/>
    <w:rsid w:val="000E2483"/>
    <w:rsid w:val="000E2DB7"/>
    <w:rsid w:val="000E2FD8"/>
    <w:rsid w:val="000E2FF6"/>
    <w:rsid w:val="000E35B1"/>
    <w:rsid w:val="000E3E4E"/>
    <w:rsid w:val="000E7A45"/>
    <w:rsid w:val="000E7C55"/>
    <w:rsid w:val="000E7C5E"/>
    <w:rsid w:val="000F0545"/>
    <w:rsid w:val="000F316F"/>
    <w:rsid w:val="000F4A27"/>
    <w:rsid w:val="000F4CA3"/>
    <w:rsid w:val="000F5443"/>
    <w:rsid w:val="000F58CA"/>
    <w:rsid w:val="000F5FDE"/>
    <w:rsid w:val="000F7487"/>
    <w:rsid w:val="000F7D75"/>
    <w:rsid w:val="00100703"/>
    <w:rsid w:val="00101361"/>
    <w:rsid w:val="00102AFC"/>
    <w:rsid w:val="001030C0"/>
    <w:rsid w:val="00103108"/>
    <w:rsid w:val="001051A4"/>
    <w:rsid w:val="00106067"/>
    <w:rsid w:val="0010749A"/>
    <w:rsid w:val="00112139"/>
    <w:rsid w:val="001121EB"/>
    <w:rsid w:val="00112B26"/>
    <w:rsid w:val="00113C6A"/>
    <w:rsid w:val="00115D42"/>
    <w:rsid w:val="001172FC"/>
    <w:rsid w:val="0012095D"/>
    <w:rsid w:val="001213C6"/>
    <w:rsid w:val="0012423C"/>
    <w:rsid w:val="00125430"/>
    <w:rsid w:val="0012678A"/>
    <w:rsid w:val="001275CE"/>
    <w:rsid w:val="001314F7"/>
    <w:rsid w:val="001333DD"/>
    <w:rsid w:val="00133E1C"/>
    <w:rsid w:val="00134D37"/>
    <w:rsid w:val="00135252"/>
    <w:rsid w:val="00137AE9"/>
    <w:rsid w:val="00140070"/>
    <w:rsid w:val="00140748"/>
    <w:rsid w:val="0014338E"/>
    <w:rsid w:val="00144920"/>
    <w:rsid w:val="001458B6"/>
    <w:rsid w:val="001462DD"/>
    <w:rsid w:val="001466A0"/>
    <w:rsid w:val="001466BE"/>
    <w:rsid w:val="00147189"/>
    <w:rsid w:val="0015191B"/>
    <w:rsid w:val="00151E45"/>
    <w:rsid w:val="00152CF8"/>
    <w:rsid w:val="001563B0"/>
    <w:rsid w:val="001577F7"/>
    <w:rsid w:val="00161BFB"/>
    <w:rsid w:val="0016283A"/>
    <w:rsid w:val="001637B8"/>
    <w:rsid w:val="00163913"/>
    <w:rsid w:val="00163E5D"/>
    <w:rsid w:val="001643FD"/>
    <w:rsid w:val="00166024"/>
    <w:rsid w:val="00166268"/>
    <w:rsid w:val="00166D56"/>
    <w:rsid w:val="00166FAD"/>
    <w:rsid w:val="0016716D"/>
    <w:rsid w:val="00167BCC"/>
    <w:rsid w:val="001725B2"/>
    <w:rsid w:val="001727B0"/>
    <w:rsid w:val="00172A32"/>
    <w:rsid w:val="00173208"/>
    <w:rsid w:val="001736D9"/>
    <w:rsid w:val="00174208"/>
    <w:rsid w:val="0017450F"/>
    <w:rsid w:val="001749F6"/>
    <w:rsid w:val="00174CA2"/>
    <w:rsid w:val="00175ED4"/>
    <w:rsid w:val="001765A6"/>
    <w:rsid w:val="001807D2"/>
    <w:rsid w:val="00181315"/>
    <w:rsid w:val="001847BC"/>
    <w:rsid w:val="00186824"/>
    <w:rsid w:val="00186AA8"/>
    <w:rsid w:val="001877DA"/>
    <w:rsid w:val="00190134"/>
    <w:rsid w:val="001906DE"/>
    <w:rsid w:val="00192C79"/>
    <w:rsid w:val="00194012"/>
    <w:rsid w:val="00194308"/>
    <w:rsid w:val="00194E3C"/>
    <w:rsid w:val="0019579D"/>
    <w:rsid w:val="00197398"/>
    <w:rsid w:val="00197444"/>
    <w:rsid w:val="001A061F"/>
    <w:rsid w:val="001A106B"/>
    <w:rsid w:val="001A253F"/>
    <w:rsid w:val="001A2994"/>
    <w:rsid w:val="001A3D9E"/>
    <w:rsid w:val="001A458D"/>
    <w:rsid w:val="001A46C2"/>
    <w:rsid w:val="001A47DF"/>
    <w:rsid w:val="001A4F92"/>
    <w:rsid w:val="001A5A27"/>
    <w:rsid w:val="001A5CF0"/>
    <w:rsid w:val="001A635C"/>
    <w:rsid w:val="001B16E3"/>
    <w:rsid w:val="001B22B0"/>
    <w:rsid w:val="001B31D6"/>
    <w:rsid w:val="001B3A72"/>
    <w:rsid w:val="001B5521"/>
    <w:rsid w:val="001B590F"/>
    <w:rsid w:val="001B71DE"/>
    <w:rsid w:val="001B7BF6"/>
    <w:rsid w:val="001C174A"/>
    <w:rsid w:val="001C3B6A"/>
    <w:rsid w:val="001C3E4F"/>
    <w:rsid w:val="001C52A5"/>
    <w:rsid w:val="001C5D15"/>
    <w:rsid w:val="001C689B"/>
    <w:rsid w:val="001C7131"/>
    <w:rsid w:val="001C747A"/>
    <w:rsid w:val="001D0047"/>
    <w:rsid w:val="001D2FFF"/>
    <w:rsid w:val="001D31A8"/>
    <w:rsid w:val="001D3629"/>
    <w:rsid w:val="001D3C8B"/>
    <w:rsid w:val="001D415B"/>
    <w:rsid w:val="001D4669"/>
    <w:rsid w:val="001D4A46"/>
    <w:rsid w:val="001D4E97"/>
    <w:rsid w:val="001D4F6C"/>
    <w:rsid w:val="001D53E8"/>
    <w:rsid w:val="001D5D9A"/>
    <w:rsid w:val="001D748C"/>
    <w:rsid w:val="001D74E5"/>
    <w:rsid w:val="001E03BA"/>
    <w:rsid w:val="001E0658"/>
    <w:rsid w:val="001E1365"/>
    <w:rsid w:val="001E205B"/>
    <w:rsid w:val="001E274D"/>
    <w:rsid w:val="001E2A6E"/>
    <w:rsid w:val="001E460E"/>
    <w:rsid w:val="001E6CE4"/>
    <w:rsid w:val="001F0E3E"/>
    <w:rsid w:val="001F199E"/>
    <w:rsid w:val="001F3F4C"/>
    <w:rsid w:val="001F43B4"/>
    <w:rsid w:val="001F461D"/>
    <w:rsid w:val="001F4D4B"/>
    <w:rsid w:val="001F565E"/>
    <w:rsid w:val="001F58AA"/>
    <w:rsid w:val="001F6FFF"/>
    <w:rsid w:val="002008F4"/>
    <w:rsid w:val="00200ED7"/>
    <w:rsid w:val="002049D5"/>
    <w:rsid w:val="002077CE"/>
    <w:rsid w:val="002078BD"/>
    <w:rsid w:val="00207947"/>
    <w:rsid w:val="00212538"/>
    <w:rsid w:val="00212FAF"/>
    <w:rsid w:val="00216066"/>
    <w:rsid w:val="002171D9"/>
    <w:rsid w:val="00220143"/>
    <w:rsid w:val="002222E5"/>
    <w:rsid w:val="00222872"/>
    <w:rsid w:val="00222E98"/>
    <w:rsid w:val="00223762"/>
    <w:rsid w:val="00226242"/>
    <w:rsid w:val="00230036"/>
    <w:rsid w:val="0023063B"/>
    <w:rsid w:val="0023094B"/>
    <w:rsid w:val="00230A7A"/>
    <w:rsid w:val="00231345"/>
    <w:rsid w:val="00231632"/>
    <w:rsid w:val="00231B60"/>
    <w:rsid w:val="00231F52"/>
    <w:rsid w:val="00232BD0"/>
    <w:rsid w:val="00233A14"/>
    <w:rsid w:val="0023424B"/>
    <w:rsid w:val="002347A2"/>
    <w:rsid w:val="0023705B"/>
    <w:rsid w:val="002415F4"/>
    <w:rsid w:val="002433FF"/>
    <w:rsid w:val="002437D5"/>
    <w:rsid w:val="002440F3"/>
    <w:rsid w:val="002444DD"/>
    <w:rsid w:val="00244E72"/>
    <w:rsid w:val="0024566D"/>
    <w:rsid w:val="002464B1"/>
    <w:rsid w:val="00246717"/>
    <w:rsid w:val="00246A9D"/>
    <w:rsid w:val="00246F17"/>
    <w:rsid w:val="002476D8"/>
    <w:rsid w:val="0025024B"/>
    <w:rsid w:val="00251050"/>
    <w:rsid w:val="002526F6"/>
    <w:rsid w:val="00252B1E"/>
    <w:rsid w:val="0025306D"/>
    <w:rsid w:val="002544F9"/>
    <w:rsid w:val="00254C68"/>
    <w:rsid w:val="00261841"/>
    <w:rsid w:val="00261E09"/>
    <w:rsid w:val="00262173"/>
    <w:rsid w:val="00262E68"/>
    <w:rsid w:val="00263298"/>
    <w:rsid w:val="00265012"/>
    <w:rsid w:val="00265E99"/>
    <w:rsid w:val="002670F6"/>
    <w:rsid w:val="00267901"/>
    <w:rsid w:val="00267ADB"/>
    <w:rsid w:val="00270206"/>
    <w:rsid w:val="00272442"/>
    <w:rsid w:val="00275356"/>
    <w:rsid w:val="002755A1"/>
    <w:rsid w:val="00275BFC"/>
    <w:rsid w:val="00276633"/>
    <w:rsid w:val="0027797C"/>
    <w:rsid w:val="00281A3C"/>
    <w:rsid w:val="002842D9"/>
    <w:rsid w:val="00284678"/>
    <w:rsid w:val="00284BD7"/>
    <w:rsid w:val="002852F0"/>
    <w:rsid w:val="002908EE"/>
    <w:rsid w:val="00291038"/>
    <w:rsid w:val="00291F3F"/>
    <w:rsid w:val="0029229B"/>
    <w:rsid w:val="0029275A"/>
    <w:rsid w:val="00292A53"/>
    <w:rsid w:val="00292DCC"/>
    <w:rsid w:val="00293824"/>
    <w:rsid w:val="00293E0C"/>
    <w:rsid w:val="00293EFC"/>
    <w:rsid w:val="002947B8"/>
    <w:rsid w:val="00294C7E"/>
    <w:rsid w:val="00297D14"/>
    <w:rsid w:val="002A1404"/>
    <w:rsid w:val="002A17A6"/>
    <w:rsid w:val="002A1F79"/>
    <w:rsid w:val="002A4230"/>
    <w:rsid w:val="002A51DD"/>
    <w:rsid w:val="002A60D5"/>
    <w:rsid w:val="002A6399"/>
    <w:rsid w:val="002A7A87"/>
    <w:rsid w:val="002B1055"/>
    <w:rsid w:val="002B30C3"/>
    <w:rsid w:val="002B4B6A"/>
    <w:rsid w:val="002B5C2B"/>
    <w:rsid w:val="002B7130"/>
    <w:rsid w:val="002C02CC"/>
    <w:rsid w:val="002C0465"/>
    <w:rsid w:val="002C1EBA"/>
    <w:rsid w:val="002C34B1"/>
    <w:rsid w:val="002C359D"/>
    <w:rsid w:val="002C35F2"/>
    <w:rsid w:val="002C527C"/>
    <w:rsid w:val="002C53AC"/>
    <w:rsid w:val="002C665D"/>
    <w:rsid w:val="002C6EB6"/>
    <w:rsid w:val="002D0BB6"/>
    <w:rsid w:val="002D2047"/>
    <w:rsid w:val="002D2DDE"/>
    <w:rsid w:val="002D3CB6"/>
    <w:rsid w:val="002D5B33"/>
    <w:rsid w:val="002D63F5"/>
    <w:rsid w:val="002E126A"/>
    <w:rsid w:val="002E12AC"/>
    <w:rsid w:val="002E1E4D"/>
    <w:rsid w:val="002E3300"/>
    <w:rsid w:val="002E409F"/>
    <w:rsid w:val="002E462B"/>
    <w:rsid w:val="002E5D7F"/>
    <w:rsid w:val="002E6201"/>
    <w:rsid w:val="002E6578"/>
    <w:rsid w:val="002E6B40"/>
    <w:rsid w:val="002E7CF7"/>
    <w:rsid w:val="002E7FF6"/>
    <w:rsid w:val="002F2536"/>
    <w:rsid w:val="002F2922"/>
    <w:rsid w:val="002F35C5"/>
    <w:rsid w:val="002F3770"/>
    <w:rsid w:val="002F3C20"/>
    <w:rsid w:val="002F46FE"/>
    <w:rsid w:val="002F473E"/>
    <w:rsid w:val="002F56EF"/>
    <w:rsid w:val="002F6E88"/>
    <w:rsid w:val="003014F3"/>
    <w:rsid w:val="00301D33"/>
    <w:rsid w:val="00302187"/>
    <w:rsid w:val="00302B9A"/>
    <w:rsid w:val="003033C0"/>
    <w:rsid w:val="003034CC"/>
    <w:rsid w:val="00303788"/>
    <w:rsid w:val="00304004"/>
    <w:rsid w:val="003110EC"/>
    <w:rsid w:val="003123B8"/>
    <w:rsid w:val="003127C2"/>
    <w:rsid w:val="00312A83"/>
    <w:rsid w:val="00313AC6"/>
    <w:rsid w:val="00317C3D"/>
    <w:rsid w:val="003201B6"/>
    <w:rsid w:val="00321AA7"/>
    <w:rsid w:val="00322738"/>
    <w:rsid w:val="0032462D"/>
    <w:rsid w:val="0032485A"/>
    <w:rsid w:val="00326E8A"/>
    <w:rsid w:val="00330588"/>
    <w:rsid w:val="003308B5"/>
    <w:rsid w:val="00333043"/>
    <w:rsid w:val="00333679"/>
    <w:rsid w:val="00333B0E"/>
    <w:rsid w:val="003344A3"/>
    <w:rsid w:val="00337B08"/>
    <w:rsid w:val="0034055C"/>
    <w:rsid w:val="003430F8"/>
    <w:rsid w:val="003435C5"/>
    <w:rsid w:val="00345211"/>
    <w:rsid w:val="003452D0"/>
    <w:rsid w:val="00351C6C"/>
    <w:rsid w:val="00352399"/>
    <w:rsid w:val="00352AF7"/>
    <w:rsid w:val="00352FD1"/>
    <w:rsid w:val="003556CB"/>
    <w:rsid w:val="00355A94"/>
    <w:rsid w:val="00356A2E"/>
    <w:rsid w:val="003574D4"/>
    <w:rsid w:val="003604A5"/>
    <w:rsid w:val="00361D1B"/>
    <w:rsid w:val="003626E6"/>
    <w:rsid w:val="00363719"/>
    <w:rsid w:val="00363B04"/>
    <w:rsid w:val="00363B7F"/>
    <w:rsid w:val="00364F2A"/>
    <w:rsid w:val="003661E8"/>
    <w:rsid w:val="00367E92"/>
    <w:rsid w:val="003705AA"/>
    <w:rsid w:val="00371E53"/>
    <w:rsid w:val="003724C4"/>
    <w:rsid w:val="0037271A"/>
    <w:rsid w:val="00373F64"/>
    <w:rsid w:val="0037457F"/>
    <w:rsid w:val="00374E3E"/>
    <w:rsid w:val="00375DC1"/>
    <w:rsid w:val="00376138"/>
    <w:rsid w:val="003774E7"/>
    <w:rsid w:val="0038143D"/>
    <w:rsid w:val="00385477"/>
    <w:rsid w:val="00385B5E"/>
    <w:rsid w:val="00385F0F"/>
    <w:rsid w:val="00386481"/>
    <w:rsid w:val="003865B3"/>
    <w:rsid w:val="00386D48"/>
    <w:rsid w:val="003879B6"/>
    <w:rsid w:val="0039243A"/>
    <w:rsid w:val="003957FB"/>
    <w:rsid w:val="00395804"/>
    <w:rsid w:val="00395C92"/>
    <w:rsid w:val="003975EC"/>
    <w:rsid w:val="003977B1"/>
    <w:rsid w:val="00397943"/>
    <w:rsid w:val="003A0E82"/>
    <w:rsid w:val="003A1123"/>
    <w:rsid w:val="003A1511"/>
    <w:rsid w:val="003A201B"/>
    <w:rsid w:val="003A21DF"/>
    <w:rsid w:val="003A2435"/>
    <w:rsid w:val="003A2FAB"/>
    <w:rsid w:val="003A4D04"/>
    <w:rsid w:val="003B0DE6"/>
    <w:rsid w:val="003B28C0"/>
    <w:rsid w:val="003B2B0E"/>
    <w:rsid w:val="003B3717"/>
    <w:rsid w:val="003B3803"/>
    <w:rsid w:val="003B4677"/>
    <w:rsid w:val="003B4994"/>
    <w:rsid w:val="003B4C73"/>
    <w:rsid w:val="003B6211"/>
    <w:rsid w:val="003B7209"/>
    <w:rsid w:val="003B769E"/>
    <w:rsid w:val="003C1952"/>
    <w:rsid w:val="003C1F19"/>
    <w:rsid w:val="003C1FC0"/>
    <w:rsid w:val="003C3508"/>
    <w:rsid w:val="003C411A"/>
    <w:rsid w:val="003C49D9"/>
    <w:rsid w:val="003C541E"/>
    <w:rsid w:val="003C65CB"/>
    <w:rsid w:val="003C6B23"/>
    <w:rsid w:val="003C6CBB"/>
    <w:rsid w:val="003C7CB6"/>
    <w:rsid w:val="003C7D0B"/>
    <w:rsid w:val="003D1114"/>
    <w:rsid w:val="003D1257"/>
    <w:rsid w:val="003D2E9B"/>
    <w:rsid w:val="003D3247"/>
    <w:rsid w:val="003D3FC7"/>
    <w:rsid w:val="003D4C53"/>
    <w:rsid w:val="003D5251"/>
    <w:rsid w:val="003D554B"/>
    <w:rsid w:val="003D5FD5"/>
    <w:rsid w:val="003D7A14"/>
    <w:rsid w:val="003D7AE2"/>
    <w:rsid w:val="003D7FC3"/>
    <w:rsid w:val="003E01E0"/>
    <w:rsid w:val="003E046E"/>
    <w:rsid w:val="003E04CA"/>
    <w:rsid w:val="003E0CD7"/>
    <w:rsid w:val="003E1714"/>
    <w:rsid w:val="003E2EF7"/>
    <w:rsid w:val="003E3287"/>
    <w:rsid w:val="003E5033"/>
    <w:rsid w:val="003E6A21"/>
    <w:rsid w:val="003E6C57"/>
    <w:rsid w:val="003F0449"/>
    <w:rsid w:val="003F29D3"/>
    <w:rsid w:val="003F33AC"/>
    <w:rsid w:val="003F42EF"/>
    <w:rsid w:val="003F437F"/>
    <w:rsid w:val="003F4ADB"/>
    <w:rsid w:val="003F51E8"/>
    <w:rsid w:val="003F5F31"/>
    <w:rsid w:val="003F5F58"/>
    <w:rsid w:val="003F6754"/>
    <w:rsid w:val="003F75CF"/>
    <w:rsid w:val="003F78BF"/>
    <w:rsid w:val="00400F5F"/>
    <w:rsid w:val="0040105A"/>
    <w:rsid w:val="00401609"/>
    <w:rsid w:val="00402C43"/>
    <w:rsid w:val="00403603"/>
    <w:rsid w:val="00403818"/>
    <w:rsid w:val="00404A7F"/>
    <w:rsid w:val="00405920"/>
    <w:rsid w:val="0041237B"/>
    <w:rsid w:val="0041493A"/>
    <w:rsid w:val="00415CE5"/>
    <w:rsid w:val="004178AD"/>
    <w:rsid w:val="00417AC2"/>
    <w:rsid w:val="00421E60"/>
    <w:rsid w:val="0042301A"/>
    <w:rsid w:val="0042386C"/>
    <w:rsid w:val="0042412F"/>
    <w:rsid w:val="004252A9"/>
    <w:rsid w:val="004260BE"/>
    <w:rsid w:val="00426BA1"/>
    <w:rsid w:val="0042780D"/>
    <w:rsid w:val="00427D58"/>
    <w:rsid w:val="00430605"/>
    <w:rsid w:val="0043082D"/>
    <w:rsid w:val="00431180"/>
    <w:rsid w:val="00432188"/>
    <w:rsid w:val="0043266A"/>
    <w:rsid w:val="00432D8A"/>
    <w:rsid w:val="00433051"/>
    <w:rsid w:val="00433AFB"/>
    <w:rsid w:val="004348D1"/>
    <w:rsid w:val="00434FCB"/>
    <w:rsid w:val="004361D3"/>
    <w:rsid w:val="00440023"/>
    <w:rsid w:val="00440C4B"/>
    <w:rsid w:val="0044158E"/>
    <w:rsid w:val="00441A4F"/>
    <w:rsid w:val="00441B99"/>
    <w:rsid w:val="0044201E"/>
    <w:rsid w:val="00442165"/>
    <w:rsid w:val="00443408"/>
    <w:rsid w:val="00445DC0"/>
    <w:rsid w:val="00447849"/>
    <w:rsid w:val="004479BB"/>
    <w:rsid w:val="0045049B"/>
    <w:rsid w:val="00450F79"/>
    <w:rsid w:val="00451EE0"/>
    <w:rsid w:val="00453D63"/>
    <w:rsid w:val="00454BF7"/>
    <w:rsid w:val="0045566D"/>
    <w:rsid w:val="00456F3F"/>
    <w:rsid w:val="00457551"/>
    <w:rsid w:val="004579CC"/>
    <w:rsid w:val="004603AD"/>
    <w:rsid w:val="0046076F"/>
    <w:rsid w:val="00461749"/>
    <w:rsid w:val="00462200"/>
    <w:rsid w:val="00462858"/>
    <w:rsid w:val="00462C52"/>
    <w:rsid w:val="00463E5D"/>
    <w:rsid w:val="00463E70"/>
    <w:rsid w:val="00465946"/>
    <w:rsid w:val="00465D6B"/>
    <w:rsid w:val="004665CD"/>
    <w:rsid w:val="00466A5E"/>
    <w:rsid w:val="00470C8E"/>
    <w:rsid w:val="0047316F"/>
    <w:rsid w:val="00473B22"/>
    <w:rsid w:val="00474ADE"/>
    <w:rsid w:val="00476470"/>
    <w:rsid w:val="0047666F"/>
    <w:rsid w:val="004766A1"/>
    <w:rsid w:val="00476F98"/>
    <w:rsid w:val="00477C59"/>
    <w:rsid w:val="0048105A"/>
    <w:rsid w:val="00482713"/>
    <w:rsid w:val="0048362D"/>
    <w:rsid w:val="00483DE1"/>
    <w:rsid w:val="00484411"/>
    <w:rsid w:val="00485775"/>
    <w:rsid w:val="00486DE6"/>
    <w:rsid w:val="0048744A"/>
    <w:rsid w:val="00493624"/>
    <w:rsid w:val="00493A9E"/>
    <w:rsid w:val="004949B4"/>
    <w:rsid w:val="00494C14"/>
    <w:rsid w:val="00495300"/>
    <w:rsid w:val="00496E3A"/>
    <w:rsid w:val="00496EEF"/>
    <w:rsid w:val="004974F4"/>
    <w:rsid w:val="004A05ED"/>
    <w:rsid w:val="004A0D67"/>
    <w:rsid w:val="004A1C58"/>
    <w:rsid w:val="004A1D75"/>
    <w:rsid w:val="004A28F3"/>
    <w:rsid w:val="004A2F2B"/>
    <w:rsid w:val="004A75E8"/>
    <w:rsid w:val="004B23BE"/>
    <w:rsid w:val="004B5964"/>
    <w:rsid w:val="004B7266"/>
    <w:rsid w:val="004C020A"/>
    <w:rsid w:val="004C1D03"/>
    <w:rsid w:val="004C1E8C"/>
    <w:rsid w:val="004C3C3B"/>
    <w:rsid w:val="004C544C"/>
    <w:rsid w:val="004C5693"/>
    <w:rsid w:val="004C67FC"/>
    <w:rsid w:val="004C6B12"/>
    <w:rsid w:val="004C7F60"/>
    <w:rsid w:val="004D0718"/>
    <w:rsid w:val="004D15BD"/>
    <w:rsid w:val="004D1C9A"/>
    <w:rsid w:val="004D2776"/>
    <w:rsid w:val="004D395E"/>
    <w:rsid w:val="004D4208"/>
    <w:rsid w:val="004D4D39"/>
    <w:rsid w:val="004D5058"/>
    <w:rsid w:val="004D5F6F"/>
    <w:rsid w:val="004D6924"/>
    <w:rsid w:val="004D7164"/>
    <w:rsid w:val="004D78A9"/>
    <w:rsid w:val="004E0F95"/>
    <w:rsid w:val="004E28E1"/>
    <w:rsid w:val="004E3CBD"/>
    <w:rsid w:val="004E438C"/>
    <w:rsid w:val="004E6162"/>
    <w:rsid w:val="004E7E85"/>
    <w:rsid w:val="004F1201"/>
    <w:rsid w:val="004F1F3F"/>
    <w:rsid w:val="004F208D"/>
    <w:rsid w:val="004F25ED"/>
    <w:rsid w:val="004F4775"/>
    <w:rsid w:val="004F525F"/>
    <w:rsid w:val="004F66E3"/>
    <w:rsid w:val="004F752D"/>
    <w:rsid w:val="005011A0"/>
    <w:rsid w:val="00502A19"/>
    <w:rsid w:val="00502FDA"/>
    <w:rsid w:val="00504E7B"/>
    <w:rsid w:val="00506765"/>
    <w:rsid w:val="00506AF1"/>
    <w:rsid w:val="00506BA0"/>
    <w:rsid w:val="00507E27"/>
    <w:rsid w:val="0051274F"/>
    <w:rsid w:val="0051370B"/>
    <w:rsid w:val="005137D1"/>
    <w:rsid w:val="005146A6"/>
    <w:rsid w:val="0051551D"/>
    <w:rsid w:val="00515ED9"/>
    <w:rsid w:val="00516A42"/>
    <w:rsid w:val="00517CFA"/>
    <w:rsid w:val="00520E9F"/>
    <w:rsid w:val="0052189C"/>
    <w:rsid w:val="00521930"/>
    <w:rsid w:val="00523532"/>
    <w:rsid w:val="00523630"/>
    <w:rsid w:val="00523C31"/>
    <w:rsid w:val="00524142"/>
    <w:rsid w:val="00524702"/>
    <w:rsid w:val="00526950"/>
    <w:rsid w:val="00527769"/>
    <w:rsid w:val="00530C46"/>
    <w:rsid w:val="00531781"/>
    <w:rsid w:val="0053341A"/>
    <w:rsid w:val="00533541"/>
    <w:rsid w:val="005339F8"/>
    <w:rsid w:val="00534563"/>
    <w:rsid w:val="00535850"/>
    <w:rsid w:val="00536192"/>
    <w:rsid w:val="00536662"/>
    <w:rsid w:val="005371EF"/>
    <w:rsid w:val="0053793C"/>
    <w:rsid w:val="00537BCA"/>
    <w:rsid w:val="005418B6"/>
    <w:rsid w:val="00542EDD"/>
    <w:rsid w:val="00543500"/>
    <w:rsid w:val="0054350B"/>
    <w:rsid w:val="005442EF"/>
    <w:rsid w:val="00545D2B"/>
    <w:rsid w:val="005474B3"/>
    <w:rsid w:val="00547B4E"/>
    <w:rsid w:val="005516A6"/>
    <w:rsid w:val="00553431"/>
    <w:rsid w:val="00553FA9"/>
    <w:rsid w:val="005547DF"/>
    <w:rsid w:val="00556764"/>
    <w:rsid w:val="00556991"/>
    <w:rsid w:val="00556F72"/>
    <w:rsid w:val="00557C84"/>
    <w:rsid w:val="005600CD"/>
    <w:rsid w:val="00561162"/>
    <w:rsid w:val="00562463"/>
    <w:rsid w:val="005652CB"/>
    <w:rsid w:val="005674FE"/>
    <w:rsid w:val="005679EE"/>
    <w:rsid w:val="00567D5D"/>
    <w:rsid w:val="005702DD"/>
    <w:rsid w:val="005708A4"/>
    <w:rsid w:val="00570D11"/>
    <w:rsid w:val="005712D7"/>
    <w:rsid w:val="005736BF"/>
    <w:rsid w:val="00575864"/>
    <w:rsid w:val="005764F2"/>
    <w:rsid w:val="0057741B"/>
    <w:rsid w:val="0057756A"/>
    <w:rsid w:val="005822D2"/>
    <w:rsid w:val="00586364"/>
    <w:rsid w:val="00586D69"/>
    <w:rsid w:val="00587E8E"/>
    <w:rsid w:val="00591E26"/>
    <w:rsid w:val="005931C6"/>
    <w:rsid w:val="005937AC"/>
    <w:rsid w:val="00597BD1"/>
    <w:rsid w:val="005A0162"/>
    <w:rsid w:val="005A07D1"/>
    <w:rsid w:val="005A0CB3"/>
    <w:rsid w:val="005A1129"/>
    <w:rsid w:val="005A1320"/>
    <w:rsid w:val="005A3014"/>
    <w:rsid w:val="005A4D2D"/>
    <w:rsid w:val="005A4D63"/>
    <w:rsid w:val="005A4DA0"/>
    <w:rsid w:val="005A612E"/>
    <w:rsid w:val="005A70C8"/>
    <w:rsid w:val="005A7C6D"/>
    <w:rsid w:val="005A7F14"/>
    <w:rsid w:val="005B23AE"/>
    <w:rsid w:val="005B32C8"/>
    <w:rsid w:val="005B50C4"/>
    <w:rsid w:val="005B6291"/>
    <w:rsid w:val="005B7704"/>
    <w:rsid w:val="005C02CF"/>
    <w:rsid w:val="005C1228"/>
    <w:rsid w:val="005C2949"/>
    <w:rsid w:val="005C6780"/>
    <w:rsid w:val="005D2955"/>
    <w:rsid w:val="005D2F72"/>
    <w:rsid w:val="005D42B5"/>
    <w:rsid w:val="005D48CE"/>
    <w:rsid w:val="005D5153"/>
    <w:rsid w:val="005D51A0"/>
    <w:rsid w:val="005D7AD1"/>
    <w:rsid w:val="005D7F35"/>
    <w:rsid w:val="005E1B19"/>
    <w:rsid w:val="005E25F5"/>
    <w:rsid w:val="005E3B32"/>
    <w:rsid w:val="005E7E86"/>
    <w:rsid w:val="005F3101"/>
    <w:rsid w:val="005F3208"/>
    <w:rsid w:val="005F358E"/>
    <w:rsid w:val="005F37B6"/>
    <w:rsid w:val="005F39C0"/>
    <w:rsid w:val="00600A18"/>
    <w:rsid w:val="00602C8A"/>
    <w:rsid w:val="006060B5"/>
    <w:rsid w:val="0060667D"/>
    <w:rsid w:val="00606FE5"/>
    <w:rsid w:val="00610BF5"/>
    <w:rsid w:val="006116A4"/>
    <w:rsid w:val="00612533"/>
    <w:rsid w:val="00612C56"/>
    <w:rsid w:val="00613593"/>
    <w:rsid w:val="00614B3D"/>
    <w:rsid w:val="00615C3F"/>
    <w:rsid w:val="006201EF"/>
    <w:rsid w:val="0062122B"/>
    <w:rsid w:val="00621D5A"/>
    <w:rsid w:val="00621DCD"/>
    <w:rsid w:val="0062227C"/>
    <w:rsid w:val="00623643"/>
    <w:rsid w:val="00624170"/>
    <w:rsid w:val="00625368"/>
    <w:rsid w:val="006255A8"/>
    <w:rsid w:val="00625AF8"/>
    <w:rsid w:val="00626016"/>
    <w:rsid w:val="00626382"/>
    <w:rsid w:val="0062664E"/>
    <w:rsid w:val="00626F2F"/>
    <w:rsid w:val="00627D64"/>
    <w:rsid w:val="00630111"/>
    <w:rsid w:val="00632FAE"/>
    <w:rsid w:val="00634395"/>
    <w:rsid w:val="00634688"/>
    <w:rsid w:val="00635737"/>
    <w:rsid w:val="00635CD0"/>
    <w:rsid w:val="00636049"/>
    <w:rsid w:val="006364BF"/>
    <w:rsid w:val="006370DE"/>
    <w:rsid w:val="006409EC"/>
    <w:rsid w:val="00641174"/>
    <w:rsid w:val="006416FF"/>
    <w:rsid w:val="006449C1"/>
    <w:rsid w:val="00644D8F"/>
    <w:rsid w:val="00645B7A"/>
    <w:rsid w:val="00651854"/>
    <w:rsid w:val="006522C5"/>
    <w:rsid w:val="00654756"/>
    <w:rsid w:val="00654B53"/>
    <w:rsid w:val="00654ED4"/>
    <w:rsid w:val="00654EEE"/>
    <w:rsid w:val="006576BD"/>
    <w:rsid w:val="006601C8"/>
    <w:rsid w:val="00660DE2"/>
    <w:rsid w:val="006636F0"/>
    <w:rsid w:val="00664DF3"/>
    <w:rsid w:val="00665BAB"/>
    <w:rsid w:val="00666535"/>
    <w:rsid w:val="00666D15"/>
    <w:rsid w:val="00667E29"/>
    <w:rsid w:val="00667ED0"/>
    <w:rsid w:val="00674107"/>
    <w:rsid w:val="006748F5"/>
    <w:rsid w:val="00674B11"/>
    <w:rsid w:val="006756BB"/>
    <w:rsid w:val="00676577"/>
    <w:rsid w:val="006772DB"/>
    <w:rsid w:val="00680618"/>
    <w:rsid w:val="00680642"/>
    <w:rsid w:val="0068177E"/>
    <w:rsid w:val="006835FC"/>
    <w:rsid w:val="00683EDB"/>
    <w:rsid w:val="00683FE6"/>
    <w:rsid w:val="006840F7"/>
    <w:rsid w:val="00684117"/>
    <w:rsid w:val="00684C20"/>
    <w:rsid w:val="0068560A"/>
    <w:rsid w:val="006857AE"/>
    <w:rsid w:val="006870BD"/>
    <w:rsid w:val="00690080"/>
    <w:rsid w:val="00690B6D"/>
    <w:rsid w:val="00691C11"/>
    <w:rsid w:val="00691F30"/>
    <w:rsid w:val="006927FF"/>
    <w:rsid w:val="00693D94"/>
    <w:rsid w:val="00693F18"/>
    <w:rsid w:val="00695168"/>
    <w:rsid w:val="00695D67"/>
    <w:rsid w:val="0069623B"/>
    <w:rsid w:val="00696827"/>
    <w:rsid w:val="00696D40"/>
    <w:rsid w:val="006A02F0"/>
    <w:rsid w:val="006A1911"/>
    <w:rsid w:val="006A1E53"/>
    <w:rsid w:val="006A2E5C"/>
    <w:rsid w:val="006A3561"/>
    <w:rsid w:val="006A4A58"/>
    <w:rsid w:val="006A533B"/>
    <w:rsid w:val="006A5B80"/>
    <w:rsid w:val="006A6254"/>
    <w:rsid w:val="006A7972"/>
    <w:rsid w:val="006B0F19"/>
    <w:rsid w:val="006B1F4D"/>
    <w:rsid w:val="006B1FAD"/>
    <w:rsid w:val="006B45D8"/>
    <w:rsid w:val="006B74B6"/>
    <w:rsid w:val="006C0137"/>
    <w:rsid w:val="006C03C8"/>
    <w:rsid w:val="006C0426"/>
    <w:rsid w:val="006C0D2E"/>
    <w:rsid w:val="006C201C"/>
    <w:rsid w:val="006C2943"/>
    <w:rsid w:val="006C3472"/>
    <w:rsid w:val="006C35B8"/>
    <w:rsid w:val="006C42F1"/>
    <w:rsid w:val="006C5080"/>
    <w:rsid w:val="006C6372"/>
    <w:rsid w:val="006C7CD4"/>
    <w:rsid w:val="006D105F"/>
    <w:rsid w:val="006D44B7"/>
    <w:rsid w:val="006D451C"/>
    <w:rsid w:val="006D5274"/>
    <w:rsid w:val="006D532F"/>
    <w:rsid w:val="006D6ED6"/>
    <w:rsid w:val="006D7141"/>
    <w:rsid w:val="006D7322"/>
    <w:rsid w:val="006E07D8"/>
    <w:rsid w:val="006E212A"/>
    <w:rsid w:val="006E301B"/>
    <w:rsid w:val="006E3EC7"/>
    <w:rsid w:val="006E501C"/>
    <w:rsid w:val="006E5103"/>
    <w:rsid w:val="006E552C"/>
    <w:rsid w:val="006E6BAD"/>
    <w:rsid w:val="006E7FF4"/>
    <w:rsid w:val="006F0557"/>
    <w:rsid w:val="006F2370"/>
    <w:rsid w:val="006F3155"/>
    <w:rsid w:val="006F3798"/>
    <w:rsid w:val="006F4821"/>
    <w:rsid w:val="006F72DC"/>
    <w:rsid w:val="006F7DE2"/>
    <w:rsid w:val="007002C1"/>
    <w:rsid w:val="007028E7"/>
    <w:rsid w:val="00703DA2"/>
    <w:rsid w:val="007040CB"/>
    <w:rsid w:val="00704142"/>
    <w:rsid w:val="007048F0"/>
    <w:rsid w:val="00705632"/>
    <w:rsid w:val="007059DB"/>
    <w:rsid w:val="0071078F"/>
    <w:rsid w:val="0071146E"/>
    <w:rsid w:val="00712502"/>
    <w:rsid w:val="007135A4"/>
    <w:rsid w:val="007141C3"/>
    <w:rsid w:val="00715B95"/>
    <w:rsid w:val="00715C2C"/>
    <w:rsid w:val="0071653F"/>
    <w:rsid w:val="00716C0A"/>
    <w:rsid w:val="00717395"/>
    <w:rsid w:val="00717648"/>
    <w:rsid w:val="00717C98"/>
    <w:rsid w:val="007205C8"/>
    <w:rsid w:val="00720EAC"/>
    <w:rsid w:val="00722179"/>
    <w:rsid w:val="00722D65"/>
    <w:rsid w:val="00723BEF"/>
    <w:rsid w:val="0072659B"/>
    <w:rsid w:val="007271F4"/>
    <w:rsid w:val="00727B82"/>
    <w:rsid w:val="00727FBF"/>
    <w:rsid w:val="007305B5"/>
    <w:rsid w:val="00730F60"/>
    <w:rsid w:val="00731781"/>
    <w:rsid w:val="00733551"/>
    <w:rsid w:val="007339E3"/>
    <w:rsid w:val="00734380"/>
    <w:rsid w:val="00735652"/>
    <w:rsid w:val="007356C5"/>
    <w:rsid w:val="0073661C"/>
    <w:rsid w:val="0073700A"/>
    <w:rsid w:val="00740C04"/>
    <w:rsid w:val="00741065"/>
    <w:rsid w:val="00744DB4"/>
    <w:rsid w:val="00746046"/>
    <w:rsid w:val="00747B7E"/>
    <w:rsid w:val="0075001C"/>
    <w:rsid w:val="007520F6"/>
    <w:rsid w:val="00752272"/>
    <w:rsid w:val="0075258E"/>
    <w:rsid w:val="00753604"/>
    <w:rsid w:val="00756E99"/>
    <w:rsid w:val="0076213D"/>
    <w:rsid w:val="00763C56"/>
    <w:rsid w:val="00764566"/>
    <w:rsid w:val="0076738B"/>
    <w:rsid w:val="0077079F"/>
    <w:rsid w:val="0077136A"/>
    <w:rsid w:val="0077448D"/>
    <w:rsid w:val="007746B5"/>
    <w:rsid w:val="007752FE"/>
    <w:rsid w:val="0077538F"/>
    <w:rsid w:val="007757A1"/>
    <w:rsid w:val="00775C8A"/>
    <w:rsid w:val="00776310"/>
    <w:rsid w:val="00780827"/>
    <w:rsid w:val="00780B95"/>
    <w:rsid w:val="00783E67"/>
    <w:rsid w:val="00784A6D"/>
    <w:rsid w:val="007868FB"/>
    <w:rsid w:val="00786CC5"/>
    <w:rsid w:val="00786E42"/>
    <w:rsid w:val="00791015"/>
    <w:rsid w:val="0079217A"/>
    <w:rsid w:val="007946C1"/>
    <w:rsid w:val="00796BDC"/>
    <w:rsid w:val="00796D50"/>
    <w:rsid w:val="007A025E"/>
    <w:rsid w:val="007A04F6"/>
    <w:rsid w:val="007A3530"/>
    <w:rsid w:val="007A3550"/>
    <w:rsid w:val="007A6A84"/>
    <w:rsid w:val="007A6DE7"/>
    <w:rsid w:val="007A7133"/>
    <w:rsid w:val="007A713A"/>
    <w:rsid w:val="007A7BAE"/>
    <w:rsid w:val="007B053F"/>
    <w:rsid w:val="007B0ED8"/>
    <w:rsid w:val="007B2EAD"/>
    <w:rsid w:val="007B5444"/>
    <w:rsid w:val="007B580C"/>
    <w:rsid w:val="007B7773"/>
    <w:rsid w:val="007C0A1E"/>
    <w:rsid w:val="007C1143"/>
    <w:rsid w:val="007C19C8"/>
    <w:rsid w:val="007C1AF1"/>
    <w:rsid w:val="007C27A3"/>
    <w:rsid w:val="007C28E9"/>
    <w:rsid w:val="007C2BB8"/>
    <w:rsid w:val="007C2F17"/>
    <w:rsid w:val="007C3768"/>
    <w:rsid w:val="007C3D3D"/>
    <w:rsid w:val="007C5010"/>
    <w:rsid w:val="007C67BC"/>
    <w:rsid w:val="007C7182"/>
    <w:rsid w:val="007D157C"/>
    <w:rsid w:val="007D1AA1"/>
    <w:rsid w:val="007D1BE6"/>
    <w:rsid w:val="007D1CA5"/>
    <w:rsid w:val="007D280A"/>
    <w:rsid w:val="007D2900"/>
    <w:rsid w:val="007D3B6F"/>
    <w:rsid w:val="007D4079"/>
    <w:rsid w:val="007D4144"/>
    <w:rsid w:val="007D5D6F"/>
    <w:rsid w:val="007D690E"/>
    <w:rsid w:val="007E048C"/>
    <w:rsid w:val="007E0646"/>
    <w:rsid w:val="007E08C4"/>
    <w:rsid w:val="007E3910"/>
    <w:rsid w:val="007E3CBE"/>
    <w:rsid w:val="007E4262"/>
    <w:rsid w:val="007E5692"/>
    <w:rsid w:val="007E5CAC"/>
    <w:rsid w:val="007E5DD5"/>
    <w:rsid w:val="007F01CF"/>
    <w:rsid w:val="007F2896"/>
    <w:rsid w:val="007F4879"/>
    <w:rsid w:val="007F50EB"/>
    <w:rsid w:val="007F5B7B"/>
    <w:rsid w:val="007F6053"/>
    <w:rsid w:val="007F639F"/>
    <w:rsid w:val="007F724E"/>
    <w:rsid w:val="007F7307"/>
    <w:rsid w:val="00805740"/>
    <w:rsid w:val="008058E4"/>
    <w:rsid w:val="008058FB"/>
    <w:rsid w:val="00805949"/>
    <w:rsid w:val="00805DDF"/>
    <w:rsid w:val="00806F2B"/>
    <w:rsid w:val="0081362C"/>
    <w:rsid w:val="00813A06"/>
    <w:rsid w:val="00815D98"/>
    <w:rsid w:val="008174FE"/>
    <w:rsid w:val="0081775F"/>
    <w:rsid w:val="00821263"/>
    <w:rsid w:val="00821402"/>
    <w:rsid w:val="00821D22"/>
    <w:rsid w:val="00822A70"/>
    <w:rsid w:val="00822C93"/>
    <w:rsid w:val="00823928"/>
    <w:rsid w:val="008250CB"/>
    <w:rsid w:val="0082726F"/>
    <w:rsid w:val="00827593"/>
    <w:rsid w:val="00827936"/>
    <w:rsid w:val="008304A6"/>
    <w:rsid w:val="00830D79"/>
    <w:rsid w:val="00831A02"/>
    <w:rsid w:val="00832D83"/>
    <w:rsid w:val="0083350D"/>
    <w:rsid w:val="00834442"/>
    <w:rsid w:val="00835954"/>
    <w:rsid w:val="0083618D"/>
    <w:rsid w:val="0083666C"/>
    <w:rsid w:val="008368B4"/>
    <w:rsid w:val="00837932"/>
    <w:rsid w:val="00840D52"/>
    <w:rsid w:val="0084134F"/>
    <w:rsid w:val="0084283B"/>
    <w:rsid w:val="00842A11"/>
    <w:rsid w:val="0084415C"/>
    <w:rsid w:val="00845959"/>
    <w:rsid w:val="0084599B"/>
    <w:rsid w:val="00847E00"/>
    <w:rsid w:val="00854C2F"/>
    <w:rsid w:val="00854E5C"/>
    <w:rsid w:val="0085590F"/>
    <w:rsid w:val="00855AB3"/>
    <w:rsid w:val="00857689"/>
    <w:rsid w:val="00857A16"/>
    <w:rsid w:val="00857C22"/>
    <w:rsid w:val="00857EDD"/>
    <w:rsid w:val="008610C5"/>
    <w:rsid w:val="00862021"/>
    <w:rsid w:val="00863B13"/>
    <w:rsid w:val="00863E02"/>
    <w:rsid w:val="00864373"/>
    <w:rsid w:val="008643A7"/>
    <w:rsid w:val="00864F7B"/>
    <w:rsid w:val="00865757"/>
    <w:rsid w:val="0086657D"/>
    <w:rsid w:val="008665AE"/>
    <w:rsid w:val="00866B4E"/>
    <w:rsid w:val="008701A7"/>
    <w:rsid w:val="0087095F"/>
    <w:rsid w:val="00870CB8"/>
    <w:rsid w:val="0087168C"/>
    <w:rsid w:val="0087335D"/>
    <w:rsid w:val="00874F49"/>
    <w:rsid w:val="008753B4"/>
    <w:rsid w:val="00876492"/>
    <w:rsid w:val="00881009"/>
    <w:rsid w:val="00882363"/>
    <w:rsid w:val="00882414"/>
    <w:rsid w:val="00882F1F"/>
    <w:rsid w:val="00883209"/>
    <w:rsid w:val="00884C5C"/>
    <w:rsid w:val="0088579F"/>
    <w:rsid w:val="008865DF"/>
    <w:rsid w:val="0089025B"/>
    <w:rsid w:val="00890C86"/>
    <w:rsid w:val="00890E66"/>
    <w:rsid w:val="00891D8D"/>
    <w:rsid w:val="00892715"/>
    <w:rsid w:val="008932DB"/>
    <w:rsid w:val="00894458"/>
    <w:rsid w:val="0089589F"/>
    <w:rsid w:val="008963B1"/>
    <w:rsid w:val="0089726F"/>
    <w:rsid w:val="00897672"/>
    <w:rsid w:val="00897BD2"/>
    <w:rsid w:val="00897D30"/>
    <w:rsid w:val="008A36AE"/>
    <w:rsid w:val="008A3C09"/>
    <w:rsid w:val="008A573F"/>
    <w:rsid w:val="008A5CDD"/>
    <w:rsid w:val="008A5D4D"/>
    <w:rsid w:val="008A670A"/>
    <w:rsid w:val="008B2ECB"/>
    <w:rsid w:val="008B44D1"/>
    <w:rsid w:val="008B653A"/>
    <w:rsid w:val="008B7F4E"/>
    <w:rsid w:val="008C1F24"/>
    <w:rsid w:val="008C32F3"/>
    <w:rsid w:val="008C406E"/>
    <w:rsid w:val="008C5525"/>
    <w:rsid w:val="008C589C"/>
    <w:rsid w:val="008C5CF2"/>
    <w:rsid w:val="008C5DB4"/>
    <w:rsid w:val="008C7756"/>
    <w:rsid w:val="008C7B08"/>
    <w:rsid w:val="008D22B6"/>
    <w:rsid w:val="008D2A7D"/>
    <w:rsid w:val="008D4343"/>
    <w:rsid w:val="008D5779"/>
    <w:rsid w:val="008D65FF"/>
    <w:rsid w:val="008D7106"/>
    <w:rsid w:val="008E22D2"/>
    <w:rsid w:val="008E400C"/>
    <w:rsid w:val="008E4220"/>
    <w:rsid w:val="008E455E"/>
    <w:rsid w:val="008E6D34"/>
    <w:rsid w:val="008E7E3A"/>
    <w:rsid w:val="008F1FC3"/>
    <w:rsid w:val="008F2363"/>
    <w:rsid w:val="008F4C33"/>
    <w:rsid w:val="008F4E07"/>
    <w:rsid w:val="008F53E6"/>
    <w:rsid w:val="008F54F2"/>
    <w:rsid w:val="008F5A39"/>
    <w:rsid w:val="008F6383"/>
    <w:rsid w:val="008F6501"/>
    <w:rsid w:val="008F68DC"/>
    <w:rsid w:val="008F6ADA"/>
    <w:rsid w:val="008F6CE0"/>
    <w:rsid w:val="0090172E"/>
    <w:rsid w:val="0090527E"/>
    <w:rsid w:val="00905736"/>
    <w:rsid w:val="00905E47"/>
    <w:rsid w:val="009068C0"/>
    <w:rsid w:val="00906FA1"/>
    <w:rsid w:val="00907DC9"/>
    <w:rsid w:val="0091008E"/>
    <w:rsid w:val="00911A86"/>
    <w:rsid w:val="00913513"/>
    <w:rsid w:val="0091499F"/>
    <w:rsid w:val="009150DF"/>
    <w:rsid w:val="009160B7"/>
    <w:rsid w:val="00917705"/>
    <w:rsid w:val="00917998"/>
    <w:rsid w:val="009216F5"/>
    <w:rsid w:val="00921A6B"/>
    <w:rsid w:val="00923E75"/>
    <w:rsid w:val="009240B0"/>
    <w:rsid w:val="00924902"/>
    <w:rsid w:val="00925164"/>
    <w:rsid w:val="00927353"/>
    <w:rsid w:val="00927396"/>
    <w:rsid w:val="009279BE"/>
    <w:rsid w:val="009307E0"/>
    <w:rsid w:val="00930950"/>
    <w:rsid w:val="009311E5"/>
    <w:rsid w:val="0093496B"/>
    <w:rsid w:val="00935206"/>
    <w:rsid w:val="009361EF"/>
    <w:rsid w:val="00937877"/>
    <w:rsid w:val="009403EF"/>
    <w:rsid w:val="00940DC8"/>
    <w:rsid w:val="009414FA"/>
    <w:rsid w:val="0094157B"/>
    <w:rsid w:val="00942433"/>
    <w:rsid w:val="009434D8"/>
    <w:rsid w:val="009464A0"/>
    <w:rsid w:val="009467E3"/>
    <w:rsid w:val="00946E0B"/>
    <w:rsid w:val="00947930"/>
    <w:rsid w:val="00947E10"/>
    <w:rsid w:val="00951E27"/>
    <w:rsid w:val="00951F59"/>
    <w:rsid w:val="009524DD"/>
    <w:rsid w:val="0095292E"/>
    <w:rsid w:val="00952952"/>
    <w:rsid w:val="00952ABF"/>
    <w:rsid w:val="00953C14"/>
    <w:rsid w:val="009555C2"/>
    <w:rsid w:val="00955FE8"/>
    <w:rsid w:val="009561C6"/>
    <w:rsid w:val="00957CAC"/>
    <w:rsid w:val="00960C91"/>
    <w:rsid w:val="00963342"/>
    <w:rsid w:val="0096459C"/>
    <w:rsid w:val="00964C1F"/>
    <w:rsid w:val="0096739A"/>
    <w:rsid w:val="009710EB"/>
    <w:rsid w:val="009721D4"/>
    <w:rsid w:val="00972F69"/>
    <w:rsid w:val="00973F8F"/>
    <w:rsid w:val="009746A9"/>
    <w:rsid w:val="009752F6"/>
    <w:rsid w:val="009757A6"/>
    <w:rsid w:val="0097710B"/>
    <w:rsid w:val="00980A53"/>
    <w:rsid w:val="009810EF"/>
    <w:rsid w:val="00981EBF"/>
    <w:rsid w:val="00982358"/>
    <w:rsid w:val="009825FB"/>
    <w:rsid w:val="0098273B"/>
    <w:rsid w:val="00982AA5"/>
    <w:rsid w:val="00983AE8"/>
    <w:rsid w:val="0098461B"/>
    <w:rsid w:val="0098567D"/>
    <w:rsid w:val="0098644F"/>
    <w:rsid w:val="009864F5"/>
    <w:rsid w:val="00986785"/>
    <w:rsid w:val="00986956"/>
    <w:rsid w:val="009909AA"/>
    <w:rsid w:val="0099243E"/>
    <w:rsid w:val="0099344C"/>
    <w:rsid w:val="00994985"/>
    <w:rsid w:val="00994DA5"/>
    <w:rsid w:val="009A007A"/>
    <w:rsid w:val="009A13FB"/>
    <w:rsid w:val="009A1F32"/>
    <w:rsid w:val="009A2B7F"/>
    <w:rsid w:val="009A35F2"/>
    <w:rsid w:val="009A3643"/>
    <w:rsid w:val="009A3F56"/>
    <w:rsid w:val="009A4151"/>
    <w:rsid w:val="009A4755"/>
    <w:rsid w:val="009A7A85"/>
    <w:rsid w:val="009B055D"/>
    <w:rsid w:val="009B0C61"/>
    <w:rsid w:val="009B2355"/>
    <w:rsid w:val="009B241D"/>
    <w:rsid w:val="009B32D1"/>
    <w:rsid w:val="009B3BFD"/>
    <w:rsid w:val="009B3CE0"/>
    <w:rsid w:val="009B42AF"/>
    <w:rsid w:val="009B532B"/>
    <w:rsid w:val="009B5858"/>
    <w:rsid w:val="009C0221"/>
    <w:rsid w:val="009C0382"/>
    <w:rsid w:val="009C0A8D"/>
    <w:rsid w:val="009C277A"/>
    <w:rsid w:val="009C543F"/>
    <w:rsid w:val="009C55F4"/>
    <w:rsid w:val="009C571B"/>
    <w:rsid w:val="009C6030"/>
    <w:rsid w:val="009C62BD"/>
    <w:rsid w:val="009C72AA"/>
    <w:rsid w:val="009C741B"/>
    <w:rsid w:val="009C782F"/>
    <w:rsid w:val="009C7C10"/>
    <w:rsid w:val="009C7EBA"/>
    <w:rsid w:val="009D12EF"/>
    <w:rsid w:val="009D1E29"/>
    <w:rsid w:val="009D1EE8"/>
    <w:rsid w:val="009D4538"/>
    <w:rsid w:val="009E2F93"/>
    <w:rsid w:val="009E6773"/>
    <w:rsid w:val="009F27D0"/>
    <w:rsid w:val="009F383E"/>
    <w:rsid w:val="009F4139"/>
    <w:rsid w:val="009F5220"/>
    <w:rsid w:val="009F585D"/>
    <w:rsid w:val="009F597B"/>
    <w:rsid w:val="009F5A73"/>
    <w:rsid w:val="009F6305"/>
    <w:rsid w:val="009F6A39"/>
    <w:rsid w:val="009F7F99"/>
    <w:rsid w:val="00A00AD6"/>
    <w:rsid w:val="00A00F4E"/>
    <w:rsid w:val="00A01054"/>
    <w:rsid w:val="00A0197A"/>
    <w:rsid w:val="00A021B6"/>
    <w:rsid w:val="00A02421"/>
    <w:rsid w:val="00A02F78"/>
    <w:rsid w:val="00A030A5"/>
    <w:rsid w:val="00A03FDA"/>
    <w:rsid w:val="00A05066"/>
    <w:rsid w:val="00A058FF"/>
    <w:rsid w:val="00A06A18"/>
    <w:rsid w:val="00A0751D"/>
    <w:rsid w:val="00A11C4D"/>
    <w:rsid w:val="00A12585"/>
    <w:rsid w:val="00A15D1B"/>
    <w:rsid w:val="00A16646"/>
    <w:rsid w:val="00A17A2C"/>
    <w:rsid w:val="00A17A79"/>
    <w:rsid w:val="00A2056D"/>
    <w:rsid w:val="00A223E4"/>
    <w:rsid w:val="00A2259C"/>
    <w:rsid w:val="00A23822"/>
    <w:rsid w:val="00A24E0E"/>
    <w:rsid w:val="00A25240"/>
    <w:rsid w:val="00A26FA3"/>
    <w:rsid w:val="00A27281"/>
    <w:rsid w:val="00A31A1F"/>
    <w:rsid w:val="00A34700"/>
    <w:rsid w:val="00A34D59"/>
    <w:rsid w:val="00A35D7F"/>
    <w:rsid w:val="00A36D23"/>
    <w:rsid w:val="00A370A5"/>
    <w:rsid w:val="00A4059C"/>
    <w:rsid w:val="00A42654"/>
    <w:rsid w:val="00A436A1"/>
    <w:rsid w:val="00A44708"/>
    <w:rsid w:val="00A4497B"/>
    <w:rsid w:val="00A44B6F"/>
    <w:rsid w:val="00A44B72"/>
    <w:rsid w:val="00A456CC"/>
    <w:rsid w:val="00A458A8"/>
    <w:rsid w:val="00A46C48"/>
    <w:rsid w:val="00A47277"/>
    <w:rsid w:val="00A4785B"/>
    <w:rsid w:val="00A50FE1"/>
    <w:rsid w:val="00A51C58"/>
    <w:rsid w:val="00A52899"/>
    <w:rsid w:val="00A52B9B"/>
    <w:rsid w:val="00A530CB"/>
    <w:rsid w:val="00A5322D"/>
    <w:rsid w:val="00A54D7C"/>
    <w:rsid w:val="00A54E28"/>
    <w:rsid w:val="00A55802"/>
    <w:rsid w:val="00A55DFD"/>
    <w:rsid w:val="00A55E11"/>
    <w:rsid w:val="00A56983"/>
    <w:rsid w:val="00A60777"/>
    <w:rsid w:val="00A610DD"/>
    <w:rsid w:val="00A61399"/>
    <w:rsid w:val="00A61CF3"/>
    <w:rsid w:val="00A62286"/>
    <w:rsid w:val="00A622CD"/>
    <w:rsid w:val="00A63FE5"/>
    <w:rsid w:val="00A6491A"/>
    <w:rsid w:val="00A659F8"/>
    <w:rsid w:val="00A67058"/>
    <w:rsid w:val="00A67D7E"/>
    <w:rsid w:val="00A70C38"/>
    <w:rsid w:val="00A718BE"/>
    <w:rsid w:val="00A71BF5"/>
    <w:rsid w:val="00A73FA4"/>
    <w:rsid w:val="00A7464A"/>
    <w:rsid w:val="00A74A77"/>
    <w:rsid w:val="00A75503"/>
    <w:rsid w:val="00A77D7F"/>
    <w:rsid w:val="00A81A75"/>
    <w:rsid w:val="00A829FD"/>
    <w:rsid w:val="00A83E7C"/>
    <w:rsid w:val="00A83FC2"/>
    <w:rsid w:val="00A842A9"/>
    <w:rsid w:val="00A84640"/>
    <w:rsid w:val="00A85AF4"/>
    <w:rsid w:val="00A90BB0"/>
    <w:rsid w:val="00A9140D"/>
    <w:rsid w:val="00A93DAD"/>
    <w:rsid w:val="00A97370"/>
    <w:rsid w:val="00A979CF"/>
    <w:rsid w:val="00AA0FF9"/>
    <w:rsid w:val="00AA1BB6"/>
    <w:rsid w:val="00AA1CF3"/>
    <w:rsid w:val="00AA5B11"/>
    <w:rsid w:val="00AA63A0"/>
    <w:rsid w:val="00AB1365"/>
    <w:rsid w:val="00AB1AF8"/>
    <w:rsid w:val="00AB24EA"/>
    <w:rsid w:val="00AB286B"/>
    <w:rsid w:val="00AB30FB"/>
    <w:rsid w:val="00AB34DF"/>
    <w:rsid w:val="00AB3911"/>
    <w:rsid w:val="00AB3956"/>
    <w:rsid w:val="00AB3B77"/>
    <w:rsid w:val="00AB6E94"/>
    <w:rsid w:val="00AB71EC"/>
    <w:rsid w:val="00AB731A"/>
    <w:rsid w:val="00AC0030"/>
    <w:rsid w:val="00AC1B9E"/>
    <w:rsid w:val="00AC26E6"/>
    <w:rsid w:val="00AC4CC9"/>
    <w:rsid w:val="00AC55BF"/>
    <w:rsid w:val="00AC5CFA"/>
    <w:rsid w:val="00AC64D9"/>
    <w:rsid w:val="00AC7EEC"/>
    <w:rsid w:val="00AD0955"/>
    <w:rsid w:val="00AD0F1D"/>
    <w:rsid w:val="00AD25A1"/>
    <w:rsid w:val="00AD3760"/>
    <w:rsid w:val="00AD7722"/>
    <w:rsid w:val="00AE0652"/>
    <w:rsid w:val="00AE11FA"/>
    <w:rsid w:val="00AE5E12"/>
    <w:rsid w:val="00AE5E20"/>
    <w:rsid w:val="00AE6C74"/>
    <w:rsid w:val="00AE7138"/>
    <w:rsid w:val="00AE71DB"/>
    <w:rsid w:val="00AE73C4"/>
    <w:rsid w:val="00AF11C5"/>
    <w:rsid w:val="00AF28D6"/>
    <w:rsid w:val="00AF2F58"/>
    <w:rsid w:val="00AF34A0"/>
    <w:rsid w:val="00AF3C3F"/>
    <w:rsid w:val="00AF4705"/>
    <w:rsid w:val="00AF47BF"/>
    <w:rsid w:val="00AF54FD"/>
    <w:rsid w:val="00AF59CD"/>
    <w:rsid w:val="00AF736D"/>
    <w:rsid w:val="00AF7ECE"/>
    <w:rsid w:val="00B01866"/>
    <w:rsid w:val="00B04807"/>
    <w:rsid w:val="00B04DBC"/>
    <w:rsid w:val="00B0546C"/>
    <w:rsid w:val="00B05A0C"/>
    <w:rsid w:val="00B0731B"/>
    <w:rsid w:val="00B07CC1"/>
    <w:rsid w:val="00B10434"/>
    <w:rsid w:val="00B1074D"/>
    <w:rsid w:val="00B11E61"/>
    <w:rsid w:val="00B12408"/>
    <w:rsid w:val="00B12EC2"/>
    <w:rsid w:val="00B1321E"/>
    <w:rsid w:val="00B16191"/>
    <w:rsid w:val="00B16635"/>
    <w:rsid w:val="00B17FE3"/>
    <w:rsid w:val="00B23E69"/>
    <w:rsid w:val="00B23F7D"/>
    <w:rsid w:val="00B31D51"/>
    <w:rsid w:val="00B32027"/>
    <w:rsid w:val="00B32C8D"/>
    <w:rsid w:val="00B32FD7"/>
    <w:rsid w:val="00B345F6"/>
    <w:rsid w:val="00B347DF"/>
    <w:rsid w:val="00B35E98"/>
    <w:rsid w:val="00B362F9"/>
    <w:rsid w:val="00B36B10"/>
    <w:rsid w:val="00B40B5E"/>
    <w:rsid w:val="00B41FDF"/>
    <w:rsid w:val="00B42385"/>
    <w:rsid w:val="00B43734"/>
    <w:rsid w:val="00B43E4F"/>
    <w:rsid w:val="00B4453D"/>
    <w:rsid w:val="00B50417"/>
    <w:rsid w:val="00B50FC0"/>
    <w:rsid w:val="00B51205"/>
    <w:rsid w:val="00B52FC3"/>
    <w:rsid w:val="00B535F7"/>
    <w:rsid w:val="00B53F74"/>
    <w:rsid w:val="00B54071"/>
    <w:rsid w:val="00B54BC0"/>
    <w:rsid w:val="00B54F6B"/>
    <w:rsid w:val="00B54F85"/>
    <w:rsid w:val="00B55052"/>
    <w:rsid w:val="00B55CBC"/>
    <w:rsid w:val="00B56869"/>
    <w:rsid w:val="00B57015"/>
    <w:rsid w:val="00B571C8"/>
    <w:rsid w:val="00B576F5"/>
    <w:rsid w:val="00B57BEA"/>
    <w:rsid w:val="00B61F3D"/>
    <w:rsid w:val="00B62465"/>
    <w:rsid w:val="00B6257A"/>
    <w:rsid w:val="00B62774"/>
    <w:rsid w:val="00B63EA6"/>
    <w:rsid w:val="00B653EB"/>
    <w:rsid w:val="00B67092"/>
    <w:rsid w:val="00B7076D"/>
    <w:rsid w:val="00B70AE9"/>
    <w:rsid w:val="00B7276D"/>
    <w:rsid w:val="00B72FE5"/>
    <w:rsid w:val="00B737AB"/>
    <w:rsid w:val="00B7661C"/>
    <w:rsid w:val="00B81D1F"/>
    <w:rsid w:val="00B84C3D"/>
    <w:rsid w:val="00B852AD"/>
    <w:rsid w:val="00B86831"/>
    <w:rsid w:val="00B86B7D"/>
    <w:rsid w:val="00B921FA"/>
    <w:rsid w:val="00B92DCB"/>
    <w:rsid w:val="00B960F2"/>
    <w:rsid w:val="00B9628C"/>
    <w:rsid w:val="00B965E4"/>
    <w:rsid w:val="00BA0ECF"/>
    <w:rsid w:val="00BA3248"/>
    <w:rsid w:val="00BA4255"/>
    <w:rsid w:val="00BB173C"/>
    <w:rsid w:val="00BB1AB7"/>
    <w:rsid w:val="00BB69F4"/>
    <w:rsid w:val="00BC11AA"/>
    <w:rsid w:val="00BC1887"/>
    <w:rsid w:val="00BC1C82"/>
    <w:rsid w:val="00BC2592"/>
    <w:rsid w:val="00BC2DD3"/>
    <w:rsid w:val="00BC2F60"/>
    <w:rsid w:val="00BC3DF1"/>
    <w:rsid w:val="00BC4987"/>
    <w:rsid w:val="00BC5758"/>
    <w:rsid w:val="00BC5E18"/>
    <w:rsid w:val="00BC630F"/>
    <w:rsid w:val="00BC6E64"/>
    <w:rsid w:val="00BC7B30"/>
    <w:rsid w:val="00BD06FC"/>
    <w:rsid w:val="00BD1B13"/>
    <w:rsid w:val="00BD5023"/>
    <w:rsid w:val="00BD7E46"/>
    <w:rsid w:val="00BE1535"/>
    <w:rsid w:val="00BE165F"/>
    <w:rsid w:val="00BE1A70"/>
    <w:rsid w:val="00BE2525"/>
    <w:rsid w:val="00BE5696"/>
    <w:rsid w:val="00BE6C92"/>
    <w:rsid w:val="00BE7312"/>
    <w:rsid w:val="00BF1741"/>
    <w:rsid w:val="00BF32C7"/>
    <w:rsid w:val="00BF3DE1"/>
    <w:rsid w:val="00BF5280"/>
    <w:rsid w:val="00BF5EED"/>
    <w:rsid w:val="00BF621F"/>
    <w:rsid w:val="00BF7232"/>
    <w:rsid w:val="00C00FAD"/>
    <w:rsid w:val="00C01C27"/>
    <w:rsid w:val="00C01C71"/>
    <w:rsid w:val="00C02CB2"/>
    <w:rsid w:val="00C04243"/>
    <w:rsid w:val="00C04769"/>
    <w:rsid w:val="00C05847"/>
    <w:rsid w:val="00C06875"/>
    <w:rsid w:val="00C07EDF"/>
    <w:rsid w:val="00C1061F"/>
    <w:rsid w:val="00C11E77"/>
    <w:rsid w:val="00C12471"/>
    <w:rsid w:val="00C1249E"/>
    <w:rsid w:val="00C124E9"/>
    <w:rsid w:val="00C12D74"/>
    <w:rsid w:val="00C130F4"/>
    <w:rsid w:val="00C148EE"/>
    <w:rsid w:val="00C17069"/>
    <w:rsid w:val="00C174E0"/>
    <w:rsid w:val="00C17860"/>
    <w:rsid w:val="00C178FA"/>
    <w:rsid w:val="00C20CAC"/>
    <w:rsid w:val="00C2120F"/>
    <w:rsid w:val="00C2182B"/>
    <w:rsid w:val="00C26B33"/>
    <w:rsid w:val="00C26E2D"/>
    <w:rsid w:val="00C279AD"/>
    <w:rsid w:val="00C324BF"/>
    <w:rsid w:val="00C32862"/>
    <w:rsid w:val="00C32AC9"/>
    <w:rsid w:val="00C32C51"/>
    <w:rsid w:val="00C33BDB"/>
    <w:rsid w:val="00C33E3E"/>
    <w:rsid w:val="00C3577B"/>
    <w:rsid w:val="00C35C88"/>
    <w:rsid w:val="00C3668A"/>
    <w:rsid w:val="00C40EA6"/>
    <w:rsid w:val="00C41B0D"/>
    <w:rsid w:val="00C436FF"/>
    <w:rsid w:val="00C43EA5"/>
    <w:rsid w:val="00C43EDF"/>
    <w:rsid w:val="00C44186"/>
    <w:rsid w:val="00C52FB5"/>
    <w:rsid w:val="00C545D7"/>
    <w:rsid w:val="00C54738"/>
    <w:rsid w:val="00C5495B"/>
    <w:rsid w:val="00C554B5"/>
    <w:rsid w:val="00C564B9"/>
    <w:rsid w:val="00C5753C"/>
    <w:rsid w:val="00C604B1"/>
    <w:rsid w:val="00C61554"/>
    <w:rsid w:val="00C624C0"/>
    <w:rsid w:val="00C64FE6"/>
    <w:rsid w:val="00C6583B"/>
    <w:rsid w:val="00C66126"/>
    <w:rsid w:val="00C66945"/>
    <w:rsid w:val="00C67635"/>
    <w:rsid w:val="00C679B0"/>
    <w:rsid w:val="00C67ED1"/>
    <w:rsid w:val="00C702CB"/>
    <w:rsid w:val="00C72EC2"/>
    <w:rsid w:val="00C74F86"/>
    <w:rsid w:val="00C757D5"/>
    <w:rsid w:val="00C759E7"/>
    <w:rsid w:val="00C75E81"/>
    <w:rsid w:val="00C7660B"/>
    <w:rsid w:val="00C773F8"/>
    <w:rsid w:val="00C80240"/>
    <w:rsid w:val="00C843AC"/>
    <w:rsid w:val="00C84AE5"/>
    <w:rsid w:val="00C85983"/>
    <w:rsid w:val="00C85CB0"/>
    <w:rsid w:val="00C85DFD"/>
    <w:rsid w:val="00C91179"/>
    <w:rsid w:val="00C91607"/>
    <w:rsid w:val="00C92CE5"/>
    <w:rsid w:val="00C939C4"/>
    <w:rsid w:val="00C94590"/>
    <w:rsid w:val="00C949DF"/>
    <w:rsid w:val="00C94A2D"/>
    <w:rsid w:val="00C96A9D"/>
    <w:rsid w:val="00C97244"/>
    <w:rsid w:val="00C9739C"/>
    <w:rsid w:val="00CA141B"/>
    <w:rsid w:val="00CA47C8"/>
    <w:rsid w:val="00CA59E3"/>
    <w:rsid w:val="00CA6872"/>
    <w:rsid w:val="00CA76E3"/>
    <w:rsid w:val="00CB0221"/>
    <w:rsid w:val="00CB13AF"/>
    <w:rsid w:val="00CB22E3"/>
    <w:rsid w:val="00CB46AA"/>
    <w:rsid w:val="00CB53D0"/>
    <w:rsid w:val="00CB583D"/>
    <w:rsid w:val="00CB65EF"/>
    <w:rsid w:val="00CB6787"/>
    <w:rsid w:val="00CB6FCD"/>
    <w:rsid w:val="00CC254A"/>
    <w:rsid w:val="00CC30DC"/>
    <w:rsid w:val="00CC3B91"/>
    <w:rsid w:val="00CC43A2"/>
    <w:rsid w:val="00CC56B3"/>
    <w:rsid w:val="00CC5E04"/>
    <w:rsid w:val="00CC665F"/>
    <w:rsid w:val="00CC6975"/>
    <w:rsid w:val="00CC6A97"/>
    <w:rsid w:val="00CD3122"/>
    <w:rsid w:val="00CD37EF"/>
    <w:rsid w:val="00CD3D5F"/>
    <w:rsid w:val="00CD433C"/>
    <w:rsid w:val="00CD43BC"/>
    <w:rsid w:val="00CD4948"/>
    <w:rsid w:val="00CD5A7E"/>
    <w:rsid w:val="00CD664A"/>
    <w:rsid w:val="00CD7F65"/>
    <w:rsid w:val="00CE0571"/>
    <w:rsid w:val="00CE118D"/>
    <w:rsid w:val="00CE3355"/>
    <w:rsid w:val="00CE4521"/>
    <w:rsid w:val="00CE60B7"/>
    <w:rsid w:val="00CE7EBD"/>
    <w:rsid w:val="00CF1363"/>
    <w:rsid w:val="00CF151A"/>
    <w:rsid w:val="00CF2DD6"/>
    <w:rsid w:val="00CF3B34"/>
    <w:rsid w:val="00CF3C40"/>
    <w:rsid w:val="00CF40AA"/>
    <w:rsid w:val="00CF53D1"/>
    <w:rsid w:val="00CF55C0"/>
    <w:rsid w:val="00CF64FC"/>
    <w:rsid w:val="00CF7148"/>
    <w:rsid w:val="00CF7848"/>
    <w:rsid w:val="00D01511"/>
    <w:rsid w:val="00D02324"/>
    <w:rsid w:val="00D025AB"/>
    <w:rsid w:val="00D029B7"/>
    <w:rsid w:val="00D03219"/>
    <w:rsid w:val="00D03BEC"/>
    <w:rsid w:val="00D03BFE"/>
    <w:rsid w:val="00D03E8D"/>
    <w:rsid w:val="00D05CAF"/>
    <w:rsid w:val="00D05D5D"/>
    <w:rsid w:val="00D06D9D"/>
    <w:rsid w:val="00D07829"/>
    <w:rsid w:val="00D0788E"/>
    <w:rsid w:val="00D07ABD"/>
    <w:rsid w:val="00D10F88"/>
    <w:rsid w:val="00D11CE0"/>
    <w:rsid w:val="00D12466"/>
    <w:rsid w:val="00D12742"/>
    <w:rsid w:val="00D13D5E"/>
    <w:rsid w:val="00D14358"/>
    <w:rsid w:val="00D1504E"/>
    <w:rsid w:val="00D15CA7"/>
    <w:rsid w:val="00D17152"/>
    <w:rsid w:val="00D17892"/>
    <w:rsid w:val="00D2022B"/>
    <w:rsid w:val="00D20604"/>
    <w:rsid w:val="00D20F83"/>
    <w:rsid w:val="00D22080"/>
    <w:rsid w:val="00D232AF"/>
    <w:rsid w:val="00D23CC1"/>
    <w:rsid w:val="00D23E38"/>
    <w:rsid w:val="00D25AE4"/>
    <w:rsid w:val="00D26AC1"/>
    <w:rsid w:val="00D2731F"/>
    <w:rsid w:val="00D32070"/>
    <w:rsid w:val="00D32BD2"/>
    <w:rsid w:val="00D341E0"/>
    <w:rsid w:val="00D34E4E"/>
    <w:rsid w:val="00D364E3"/>
    <w:rsid w:val="00D423CD"/>
    <w:rsid w:val="00D42654"/>
    <w:rsid w:val="00D431EC"/>
    <w:rsid w:val="00D44769"/>
    <w:rsid w:val="00D44C5F"/>
    <w:rsid w:val="00D4576D"/>
    <w:rsid w:val="00D46DAB"/>
    <w:rsid w:val="00D5104A"/>
    <w:rsid w:val="00D51167"/>
    <w:rsid w:val="00D51BDD"/>
    <w:rsid w:val="00D524CE"/>
    <w:rsid w:val="00D55194"/>
    <w:rsid w:val="00D57F7E"/>
    <w:rsid w:val="00D604AC"/>
    <w:rsid w:val="00D60DAF"/>
    <w:rsid w:val="00D61B6D"/>
    <w:rsid w:val="00D62662"/>
    <w:rsid w:val="00D628E4"/>
    <w:rsid w:val="00D63779"/>
    <w:rsid w:val="00D64C8A"/>
    <w:rsid w:val="00D6513D"/>
    <w:rsid w:val="00D67EE6"/>
    <w:rsid w:val="00D70712"/>
    <w:rsid w:val="00D71E9D"/>
    <w:rsid w:val="00D725FE"/>
    <w:rsid w:val="00D72837"/>
    <w:rsid w:val="00D73F72"/>
    <w:rsid w:val="00D7554D"/>
    <w:rsid w:val="00D76582"/>
    <w:rsid w:val="00D76B29"/>
    <w:rsid w:val="00D76F46"/>
    <w:rsid w:val="00D77271"/>
    <w:rsid w:val="00D777D8"/>
    <w:rsid w:val="00D80752"/>
    <w:rsid w:val="00D80E2E"/>
    <w:rsid w:val="00D823FC"/>
    <w:rsid w:val="00D83CF8"/>
    <w:rsid w:val="00D8402A"/>
    <w:rsid w:val="00D843AF"/>
    <w:rsid w:val="00D86917"/>
    <w:rsid w:val="00D902CD"/>
    <w:rsid w:val="00D90394"/>
    <w:rsid w:val="00D92319"/>
    <w:rsid w:val="00D924E0"/>
    <w:rsid w:val="00D93519"/>
    <w:rsid w:val="00D9432F"/>
    <w:rsid w:val="00D94B0E"/>
    <w:rsid w:val="00D95E77"/>
    <w:rsid w:val="00D96869"/>
    <w:rsid w:val="00D968A2"/>
    <w:rsid w:val="00DA04A5"/>
    <w:rsid w:val="00DA173E"/>
    <w:rsid w:val="00DA327B"/>
    <w:rsid w:val="00DA4BA5"/>
    <w:rsid w:val="00DA5001"/>
    <w:rsid w:val="00DA505F"/>
    <w:rsid w:val="00DA51A3"/>
    <w:rsid w:val="00DA5E66"/>
    <w:rsid w:val="00DB2648"/>
    <w:rsid w:val="00DB2C6C"/>
    <w:rsid w:val="00DB5CCA"/>
    <w:rsid w:val="00DB6D23"/>
    <w:rsid w:val="00DB762A"/>
    <w:rsid w:val="00DC0BC6"/>
    <w:rsid w:val="00DC1DE6"/>
    <w:rsid w:val="00DC22CA"/>
    <w:rsid w:val="00DC28BF"/>
    <w:rsid w:val="00DC347A"/>
    <w:rsid w:val="00DC3A76"/>
    <w:rsid w:val="00DC4184"/>
    <w:rsid w:val="00DC4499"/>
    <w:rsid w:val="00DC4C8F"/>
    <w:rsid w:val="00DC5CDD"/>
    <w:rsid w:val="00DC603C"/>
    <w:rsid w:val="00DC71D6"/>
    <w:rsid w:val="00DC73E0"/>
    <w:rsid w:val="00DD3874"/>
    <w:rsid w:val="00DD53CE"/>
    <w:rsid w:val="00DD5893"/>
    <w:rsid w:val="00DD6364"/>
    <w:rsid w:val="00DD714A"/>
    <w:rsid w:val="00DD7A91"/>
    <w:rsid w:val="00DE2DF9"/>
    <w:rsid w:val="00DE559A"/>
    <w:rsid w:val="00DE5902"/>
    <w:rsid w:val="00DE76EE"/>
    <w:rsid w:val="00DF1104"/>
    <w:rsid w:val="00DF1760"/>
    <w:rsid w:val="00DF2E3C"/>
    <w:rsid w:val="00DF31E6"/>
    <w:rsid w:val="00DF3CBF"/>
    <w:rsid w:val="00DF45D7"/>
    <w:rsid w:val="00DF4989"/>
    <w:rsid w:val="00DF5733"/>
    <w:rsid w:val="00DF5C31"/>
    <w:rsid w:val="00DF6048"/>
    <w:rsid w:val="00DF606D"/>
    <w:rsid w:val="00DF7684"/>
    <w:rsid w:val="00DF7AB1"/>
    <w:rsid w:val="00E004E7"/>
    <w:rsid w:val="00E00643"/>
    <w:rsid w:val="00E0183E"/>
    <w:rsid w:val="00E02348"/>
    <w:rsid w:val="00E04B7C"/>
    <w:rsid w:val="00E060AA"/>
    <w:rsid w:val="00E06346"/>
    <w:rsid w:val="00E0718C"/>
    <w:rsid w:val="00E076CF"/>
    <w:rsid w:val="00E1085B"/>
    <w:rsid w:val="00E1295A"/>
    <w:rsid w:val="00E16955"/>
    <w:rsid w:val="00E16C4D"/>
    <w:rsid w:val="00E16DC9"/>
    <w:rsid w:val="00E17434"/>
    <w:rsid w:val="00E20D52"/>
    <w:rsid w:val="00E211AC"/>
    <w:rsid w:val="00E21F15"/>
    <w:rsid w:val="00E21FC1"/>
    <w:rsid w:val="00E22F75"/>
    <w:rsid w:val="00E262F8"/>
    <w:rsid w:val="00E26B96"/>
    <w:rsid w:val="00E26CD9"/>
    <w:rsid w:val="00E30C10"/>
    <w:rsid w:val="00E31636"/>
    <w:rsid w:val="00E31E7E"/>
    <w:rsid w:val="00E327EB"/>
    <w:rsid w:val="00E3395D"/>
    <w:rsid w:val="00E34F83"/>
    <w:rsid w:val="00E36830"/>
    <w:rsid w:val="00E3684C"/>
    <w:rsid w:val="00E40060"/>
    <w:rsid w:val="00E40CC5"/>
    <w:rsid w:val="00E40E13"/>
    <w:rsid w:val="00E422F7"/>
    <w:rsid w:val="00E435A4"/>
    <w:rsid w:val="00E44B18"/>
    <w:rsid w:val="00E4560F"/>
    <w:rsid w:val="00E4689E"/>
    <w:rsid w:val="00E5189E"/>
    <w:rsid w:val="00E528FB"/>
    <w:rsid w:val="00E52A24"/>
    <w:rsid w:val="00E53592"/>
    <w:rsid w:val="00E5467B"/>
    <w:rsid w:val="00E5577D"/>
    <w:rsid w:val="00E56075"/>
    <w:rsid w:val="00E5740B"/>
    <w:rsid w:val="00E57D55"/>
    <w:rsid w:val="00E611B1"/>
    <w:rsid w:val="00E61408"/>
    <w:rsid w:val="00E61816"/>
    <w:rsid w:val="00E61F74"/>
    <w:rsid w:val="00E6237B"/>
    <w:rsid w:val="00E627EB"/>
    <w:rsid w:val="00E66326"/>
    <w:rsid w:val="00E71158"/>
    <w:rsid w:val="00E72ADC"/>
    <w:rsid w:val="00E73418"/>
    <w:rsid w:val="00E73A09"/>
    <w:rsid w:val="00E745CB"/>
    <w:rsid w:val="00E74621"/>
    <w:rsid w:val="00E7498A"/>
    <w:rsid w:val="00E75545"/>
    <w:rsid w:val="00E8317A"/>
    <w:rsid w:val="00E84ABE"/>
    <w:rsid w:val="00E84B3F"/>
    <w:rsid w:val="00E85A4D"/>
    <w:rsid w:val="00E85E6D"/>
    <w:rsid w:val="00E87683"/>
    <w:rsid w:val="00E9005F"/>
    <w:rsid w:val="00E9012E"/>
    <w:rsid w:val="00E9044E"/>
    <w:rsid w:val="00E93FD9"/>
    <w:rsid w:val="00E956D9"/>
    <w:rsid w:val="00E95DAE"/>
    <w:rsid w:val="00E9600B"/>
    <w:rsid w:val="00E97C53"/>
    <w:rsid w:val="00E97DE5"/>
    <w:rsid w:val="00EA034D"/>
    <w:rsid w:val="00EA1A6E"/>
    <w:rsid w:val="00EA2319"/>
    <w:rsid w:val="00EA25BF"/>
    <w:rsid w:val="00EA36FE"/>
    <w:rsid w:val="00EA39EE"/>
    <w:rsid w:val="00EA46A4"/>
    <w:rsid w:val="00EB0A49"/>
    <w:rsid w:val="00EB1FB7"/>
    <w:rsid w:val="00EB658B"/>
    <w:rsid w:val="00EB675A"/>
    <w:rsid w:val="00EB7FA2"/>
    <w:rsid w:val="00EC6725"/>
    <w:rsid w:val="00ED06D7"/>
    <w:rsid w:val="00ED0D2C"/>
    <w:rsid w:val="00ED1553"/>
    <w:rsid w:val="00ED18FC"/>
    <w:rsid w:val="00ED1C24"/>
    <w:rsid w:val="00ED1CEC"/>
    <w:rsid w:val="00ED1EF5"/>
    <w:rsid w:val="00ED2FAC"/>
    <w:rsid w:val="00ED3E6D"/>
    <w:rsid w:val="00ED77E5"/>
    <w:rsid w:val="00ED7A59"/>
    <w:rsid w:val="00EE0193"/>
    <w:rsid w:val="00EE0EFA"/>
    <w:rsid w:val="00EE3DC2"/>
    <w:rsid w:val="00EE743B"/>
    <w:rsid w:val="00EF003A"/>
    <w:rsid w:val="00EF08C3"/>
    <w:rsid w:val="00EF1B7F"/>
    <w:rsid w:val="00EF2D26"/>
    <w:rsid w:val="00EF47F7"/>
    <w:rsid w:val="00EF5104"/>
    <w:rsid w:val="00EF7121"/>
    <w:rsid w:val="00F0086E"/>
    <w:rsid w:val="00F00D9A"/>
    <w:rsid w:val="00F01991"/>
    <w:rsid w:val="00F0263A"/>
    <w:rsid w:val="00F026E1"/>
    <w:rsid w:val="00F02B5F"/>
    <w:rsid w:val="00F03409"/>
    <w:rsid w:val="00F03BD9"/>
    <w:rsid w:val="00F06C5E"/>
    <w:rsid w:val="00F07B7E"/>
    <w:rsid w:val="00F07D4C"/>
    <w:rsid w:val="00F1075A"/>
    <w:rsid w:val="00F10F97"/>
    <w:rsid w:val="00F122EE"/>
    <w:rsid w:val="00F127D6"/>
    <w:rsid w:val="00F1320B"/>
    <w:rsid w:val="00F13EE6"/>
    <w:rsid w:val="00F144A7"/>
    <w:rsid w:val="00F148D5"/>
    <w:rsid w:val="00F16A41"/>
    <w:rsid w:val="00F20C52"/>
    <w:rsid w:val="00F21745"/>
    <w:rsid w:val="00F224C9"/>
    <w:rsid w:val="00F22A48"/>
    <w:rsid w:val="00F2518B"/>
    <w:rsid w:val="00F2613F"/>
    <w:rsid w:val="00F26324"/>
    <w:rsid w:val="00F2655E"/>
    <w:rsid w:val="00F26603"/>
    <w:rsid w:val="00F26E83"/>
    <w:rsid w:val="00F35221"/>
    <w:rsid w:val="00F36755"/>
    <w:rsid w:val="00F375C6"/>
    <w:rsid w:val="00F37A97"/>
    <w:rsid w:val="00F402AF"/>
    <w:rsid w:val="00F4251B"/>
    <w:rsid w:val="00F42978"/>
    <w:rsid w:val="00F43128"/>
    <w:rsid w:val="00F43A89"/>
    <w:rsid w:val="00F43D18"/>
    <w:rsid w:val="00F44C36"/>
    <w:rsid w:val="00F44D4F"/>
    <w:rsid w:val="00F458D1"/>
    <w:rsid w:val="00F479F0"/>
    <w:rsid w:val="00F47E84"/>
    <w:rsid w:val="00F51430"/>
    <w:rsid w:val="00F52AE4"/>
    <w:rsid w:val="00F5360F"/>
    <w:rsid w:val="00F53C4C"/>
    <w:rsid w:val="00F547C6"/>
    <w:rsid w:val="00F570C5"/>
    <w:rsid w:val="00F57237"/>
    <w:rsid w:val="00F5734E"/>
    <w:rsid w:val="00F65E2E"/>
    <w:rsid w:val="00F6667E"/>
    <w:rsid w:val="00F706F6"/>
    <w:rsid w:val="00F70AC7"/>
    <w:rsid w:val="00F70CC1"/>
    <w:rsid w:val="00F72692"/>
    <w:rsid w:val="00F7318C"/>
    <w:rsid w:val="00F735C6"/>
    <w:rsid w:val="00F73942"/>
    <w:rsid w:val="00F743DD"/>
    <w:rsid w:val="00F7452D"/>
    <w:rsid w:val="00F74A83"/>
    <w:rsid w:val="00F74C83"/>
    <w:rsid w:val="00F7518E"/>
    <w:rsid w:val="00F7539A"/>
    <w:rsid w:val="00F76817"/>
    <w:rsid w:val="00F80592"/>
    <w:rsid w:val="00F81ABD"/>
    <w:rsid w:val="00F824BA"/>
    <w:rsid w:val="00F837FC"/>
    <w:rsid w:val="00F83AEA"/>
    <w:rsid w:val="00F84F62"/>
    <w:rsid w:val="00F85748"/>
    <w:rsid w:val="00F85B19"/>
    <w:rsid w:val="00F904B3"/>
    <w:rsid w:val="00F91B97"/>
    <w:rsid w:val="00F9210C"/>
    <w:rsid w:val="00F927B3"/>
    <w:rsid w:val="00F93D66"/>
    <w:rsid w:val="00F94724"/>
    <w:rsid w:val="00F9530E"/>
    <w:rsid w:val="00F9691A"/>
    <w:rsid w:val="00F97055"/>
    <w:rsid w:val="00FA22BA"/>
    <w:rsid w:val="00FA26E7"/>
    <w:rsid w:val="00FA433F"/>
    <w:rsid w:val="00FA45CF"/>
    <w:rsid w:val="00FA59F5"/>
    <w:rsid w:val="00FA62B2"/>
    <w:rsid w:val="00FA6AC8"/>
    <w:rsid w:val="00FA6D9C"/>
    <w:rsid w:val="00FB2360"/>
    <w:rsid w:val="00FB41CD"/>
    <w:rsid w:val="00FB507D"/>
    <w:rsid w:val="00FB5D24"/>
    <w:rsid w:val="00FB6B0E"/>
    <w:rsid w:val="00FB7168"/>
    <w:rsid w:val="00FB77D3"/>
    <w:rsid w:val="00FC0509"/>
    <w:rsid w:val="00FC0964"/>
    <w:rsid w:val="00FC22D6"/>
    <w:rsid w:val="00FC32B0"/>
    <w:rsid w:val="00FC5C50"/>
    <w:rsid w:val="00FC6140"/>
    <w:rsid w:val="00FC7919"/>
    <w:rsid w:val="00FD0488"/>
    <w:rsid w:val="00FD12BD"/>
    <w:rsid w:val="00FD1E43"/>
    <w:rsid w:val="00FD65C1"/>
    <w:rsid w:val="00FD6935"/>
    <w:rsid w:val="00FD6E2C"/>
    <w:rsid w:val="00FD75C7"/>
    <w:rsid w:val="00FD7B4B"/>
    <w:rsid w:val="00FD7B7E"/>
    <w:rsid w:val="00FE2A4B"/>
    <w:rsid w:val="00FE32FE"/>
    <w:rsid w:val="00FE52CF"/>
    <w:rsid w:val="00FE562D"/>
    <w:rsid w:val="00FE5689"/>
    <w:rsid w:val="00FE5728"/>
    <w:rsid w:val="00FE5AF7"/>
    <w:rsid w:val="00FE60FD"/>
    <w:rsid w:val="00FE6E87"/>
    <w:rsid w:val="00FF09EC"/>
    <w:rsid w:val="00FF15B2"/>
    <w:rsid w:val="00FF4D41"/>
    <w:rsid w:val="00FF58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AF339B"/>
  <w14:defaultImageDpi w14:val="32767"/>
  <w15:chartTrackingRefBased/>
  <w15:docId w15:val="{6ACF264C-629C-4A9E-9227-9DACC3BA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qFormat="1"/>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qFormat="1"/>
    <w:lsdException w:name="Colorful Grid Accent 2"/>
    <w:lsdException w:name="Light Shading Accent 3"/>
    <w:lsdException w:name="Light List Accent 3"/>
    <w:lsdException w:name="Light Grid Accent 3" w:uiPriority="62" w:qFormat="1"/>
    <w:lsdException w:name="Medium Shading 1 Accent 3" w:qFormat="1"/>
    <w:lsdException w:name="Medium Shading 2 Accent 3" w:qFormat="1"/>
    <w:lsdException w:name="Medium List 1 Accent 3"/>
    <w:lsdException w:name="Medium List 2 Accent 3"/>
    <w:lsdException w:name="Medium Grid 1 Accent 3" w:uiPriority="1" w:qFormat="1"/>
    <w:lsdException w:name="Medium Grid 2 Accent 3"/>
    <w:lsdException w:name="Medium Grid 3 Accent 3"/>
    <w:lsdException w:name="Dark List Accent 3"/>
    <w:lsdException w:name="Colorful Shading Accent 3" w:qFormat="1"/>
    <w:lsdException w:name="Colorful List Accent 3" w:qFormat="1"/>
    <w:lsdException w:name="Colorful Grid Accent 3" w:qFormat="1"/>
    <w:lsdException w:name="Light Shading Accent 4"/>
    <w:lsdException w:name="Light List Accent 4"/>
    <w:lsdException w:name="Light Grid Accent 4" w:qFormat="1"/>
    <w:lsdException w:name="Medium Shading 1 Accent 4"/>
    <w:lsdException w:name="Medium Shading 2 Accent 4"/>
    <w:lsdException w:name="Medium List 1 Accent 4"/>
    <w:lsdException w:name="Medium List 2 Accent 4" w:qFormat="1"/>
    <w:lsdException w:name="Medium Grid 1 Accent 4" w:qFormat="1"/>
    <w:lsdException w:name="Medium Grid 2 Accent 4" w:qFormat="1"/>
    <w:lsdException w:name="Medium Grid 3 Accent 4"/>
    <w:lsdException w:name="Dark List Accent 4"/>
    <w:lsdException w:name="Colorful Shading Accent 4" w:qFormat="1"/>
    <w:lsdException w:name="Colorful List Accent 4"/>
    <w:lsdException w:name="Colorful Grid Accent 4"/>
    <w:lsdException w:name="Light Shading Accent 5"/>
    <w:lsdException w:name="Light List Accent 5" w:uiPriority="34" w:qFormat="1"/>
    <w:lsdException w:name="Light Grid Accent 5" w:uiPriority="29" w:qFormat="1"/>
    <w:lsdException w:name="Medium Shading 1 Accent 5" w:uiPriority="30" w:qFormat="1"/>
    <w:lsdException w:name="Medium Shading 2 Accent 5"/>
    <w:lsdException w:name="Medium List 1 Accent 5"/>
    <w:lsdException w:name="Medium List 2 Accent 5" w:qFormat="1"/>
    <w:lsdException w:name="Medium Grid 1 Accent 5"/>
    <w:lsdException w:name="Medium Grid 2 Accent 5"/>
    <w:lsdException w:name="Medium Grid 3 Accent 5"/>
    <w:lsdException w:name="Dark List Accent 5" w:qFormat="1"/>
    <w:lsdException w:name="Colorful Shading Accent 5" w:qFormat="1"/>
    <w:lsdException w:name="Colorful List Accent 5" w:qFormat="1"/>
    <w:lsdException w:name="Colorful Grid Accent 5"/>
    <w:lsdException w:name="Light Shading Accent 6"/>
    <w:lsdException w:name="Light List Accent 6" w:qFormat="1"/>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lsdException w:name="Medium Grid 3 Accent 6"/>
    <w:lsdException w:name="Dark List Accent 6" w:qFormat="1"/>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2" w:uiPriority="42"/>
    <w:lsdException w:name="Plain Table 3" w:qFormat="1"/>
    <w:lsdException w:name="Plain Table 4" w:uiPriority="44" w:qFormat="1"/>
    <w:lsdException w:name="Plain Table 5" w:qFormat="1"/>
    <w:lsdException w:name="Grid Table Light" w:qFormat="1"/>
    <w:lsdException w:name="Grid Table 1 Light" w:qFormat="1"/>
    <w:lsdException w:name="Grid Table 2" w:qFormat="1"/>
    <w:lsdException w:name="Grid Table 3" w:uiPriority="60" w:qFormat="1"/>
    <w:lsdException w:name="Grid Table 6 Colorful" w:qFormat="1"/>
    <w:lsdException w:name="Grid Table 7 Colorful" w:qFormat="1"/>
    <w:lsdException w:name="Grid Table 1 Light Accent 1" w:qFormat="1"/>
    <w:lsdException w:name="Grid Table 2 Accent 1" w:qFormat="1"/>
    <w:lsdException w:name="Grid Table 3 Accent 1" w:qFormat="1"/>
    <w:lsdException w:name="Grid Table 4 Accent 1" w:qFormat="1"/>
    <w:lsdException w:name="Grid Table 5 Dark Accent 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51"/>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9F"/>
  </w:style>
  <w:style w:type="paragraph" w:styleId="Heading1">
    <w:name w:val="heading 1"/>
    <w:basedOn w:val="Normal"/>
    <w:next w:val="Normal"/>
    <w:link w:val="Heading1Char"/>
    <w:uiPriority w:val="9"/>
    <w:qFormat/>
    <w:rsid w:val="00520E9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0E9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520E9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520E9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520E9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520E9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unhideWhenUsed/>
    <w:qFormat/>
    <w:rsid w:val="00520E9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unhideWhenUsed/>
    <w:qFormat/>
    <w:rsid w:val="00520E9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unhideWhenUsed/>
    <w:qFormat/>
    <w:rsid w:val="00520E9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E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20E9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520E9F"/>
    <w:rPr>
      <w:rFonts w:asciiTheme="majorHAnsi" w:eastAsiaTheme="majorEastAsia" w:hAnsiTheme="majorHAnsi" w:cstheme="majorBidi"/>
      <w:color w:val="44546A" w:themeColor="text2"/>
      <w:sz w:val="24"/>
      <w:szCs w:val="24"/>
    </w:rPr>
  </w:style>
  <w:style w:type="paragraph" w:styleId="Footer">
    <w:name w:val="footer"/>
    <w:basedOn w:val="Normal"/>
    <w:link w:val="FooterChar"/>
    <w:uiPriority w:val="99"/>
    <w:unhideWhenUsed/>
    <w:rsid w:val="00D44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C5F"/>
  </w:style>
  <w:style w:type="paragraph" w:styleId="Header">
    <w:name w:val="header"/>
    <w:basedOn w:val="Normal"/>
    <w:link w:val="HeaderChar"/>
    <w:uiPriority w:val="99"/>
    <w:unhideWhenUsed/>
    <w:rsid w:val="00D44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C5F"/>
  </w:style>
  <w:style w:type="paragraph" w:styleId="CommentText">
    <w:name w:val="annotation text"/>
    <w:basedOn w:val="Normal"/>
    <w:link w:val="CommentTextChar"/>
    <w:uiPriority w:val="99"/>
    <w:unhideWhenUsed/>
    <w:rsid w:val="00D44C5F"/>
    <w:pPr>
      <w:spacing w:line="240" w:lineRule="auto"/>
    </w:pPr>
    <w:rPr>
      <w:rFonts w:cs="Times New Roman"/>
      <w:lang w:val="x-none" w:eastAsia="x-none"/>
    </w:rPr>
  </w:style>
  <w:style w:type="character" w:customStyle="1" w:styleId="CommentTextChar">
    <w:name w:val="Comment Text Char"/>
    <w:link w:val="CommentText"/>
    <w:uiPriority w:val="99"/>
    <w:rsid w:val="00D44C5F"/>
    <w:rPr>
      <w:sz w:val="20"/>
      <w:szCs w:val="20"/>
    </w:rPr>
  </w:style>
  <w:style w:type="character" w:styleId="PageNumber">
    <w:name w:val="page number"/>
    <w:basedOn w:val="DefaultParagraphFont"/>
    <w:rsid w:val="00D44C5F"/>
  </w:style>
  <w:style w:type="character" w:styleId="CommentReference">
    <w:name w:val="annotation reference"/>
    <w:uiPriority w:val="99"/>
    <w:semiHidden/>
    <w:unhideWhenUsed/>
    <w:rsid w:val="00D44C5F"/>
    <w:rPr>
      <w:sz w:val="16"/>
      <w:szCs w:val="16"/>
    </w:rPr>
  </w:style>
  <w:style w:type="paragraph" w:styleId="BalloonText">
    <w:name w:val="Balloon Text"/>
    <w:basedOn w:val="Normal"/>
    <w:link w:val="BalloonTextChar"/>
    <w:uiPriority w:val="99"/>
    <w:semiHidden/>
    <w:unhideWhenUsed/>
    <w:rsid w:val="00D44C5F"/>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D44C5F"/>
    <w:rPr>
      <w:rFonts w:ascii="Tahoma" w:hAnsi="Tahoma" w:cs="Tahoma"/>
      <w:sz w:val="16"/>
      <w:szCs w:val="16"/>
    </w:rPr>
  </w:style>
  <w:style w:type="character" w:styleId="Hyperlink">
    <w:name w:val="Hyperlink"/>
    <w:uiPriority w:val="99"/>
    <w:unhideWhenUsed/>
    <w:rsid w:val="004E438C"/>
    <w:rPr>
      <w:color w:val="0000FF"/>
      <w:u w:val="single"/>
    </w:rPr>
  </w:style>
  <w:style w:type="paragraph" w:customStyle="1" w:styleId="GridTable1Light-Accent21">
    <w:name w:val="Grid Table 1 Light - Accent 21"/>
    <w:basedOn w:val="Normal"/>
    <w:uiPriority w:val="34"/>
    <w:rsid w:val="00186AA8"/>
    <w:pPr>
      <w:ind w:left="720"/>
      <w:contextualSpacing/>
    </w:pPr>
  </w:style>
  <w:style w:type="paragraph" w:customStyle="1" w:styleId="PlainTable31">
    <w:name w:val="Plain Table 31"/>
    <w:basedOn w:val="Normal"/>
    <w:uiPriority w:val="72"/>
    <w:rsid w:val="007C27A3"/>
    <w:pPr>
      <w:ind w:left="720"/>
    </w:pPr>
  </w:style>
  <w:style w:type="table" w:styleId="TableGrid">
    <w:name w:val="Table Grid"/>
    <w:basedOn w:val="TableNormal"/>
    <w:uiPriority w:val="39"/>
    <w:qFormat/>
    <w:rsid w:val="00A54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2227C"/>
    <w:rPr>
      <w:rFonts w:ascii="Courier New" w:hAnsi="Courier New" w:cs="Times New Roman"/>
      <w:lang w:val="x-none" w:eastAsia="x-none"/>
    </w:rPr>
  </w:style>
  <w:style w:type="character" w:customStyle="1" w:styleId="HTMLPreformattedChar">
    <w:name w:val="HTML Preformatted Char"/>
    <w:link w:val="HTMLPreformatted"/>
    <w:uiPriority w:val="99"/>
    <w:rsid w:val="0062227C"/>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62227C"/>
    <w:pPr>
      <w:spacing w:after="160"/>
    </w:pPr>
    <w:rPr>
      <w:b/>
      <w:bCs/>
      <w:lang w:val="en-GB"/>
    </w:rPr>
  </w:style>
  <w:style w:type="character" w:customStyle="1" w:styleId="CommentSubjectChar">
    <w:name w:val="Comment Subject Char"/>
    <w:link w:val="CommentSubject"/>
    <w:uiPriority w:val="99"/>
    <w:semiHidden/>
    <w:rsid w:val="0062227C"/>
    <w:rPr>
      <w:b/>
      <w:bCs/>
      <w:sz w:val="20"/>
      <w:szCs w:val="20"/>
      <w:lang w:val="en-GB"/>
    </w:rPr>
  </w:style>
  <w:style w:type="table" w:customStyle="1" w:styleId="LightShading1">
    <w:name w:val="Light Shading1"/>
    <w:basedOn w:val="TableNormal"/>
    <w:uiPriority w:val="60"/>
    <w:rsid w:val="00666535"/>
    <w:rPr>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TableNormal"/>
    <w:uiPriority w:val="60"/>
    <w:rsid w:val="00F026E1"/>
    <w:rPr>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rsid w:val="00BC3DF1"/>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eNormal"/>
    <w:uiPriority w:val="42"/>
    <w:rsid w:val="00BC3DF1"/>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BC3DF1"/>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DocumentMap">
    <w:name w:val="Document Map"/>
    <w:basedOn w:val="Normal"/>
    <w:link w:val="DocumentMapChar"/>
    <w:uiPriority w:val="99"/>
    <w:semiHidden/>
    <w:unhideWhenUsed/>
    <w:rsid w:val="0008563D"/>
    <w:rPr>
      <w:rFonts w:ascii="Times New Roman" w:hAnsi="Times New Roman" w:cs="Times New Roman"/>
      <w:sz w:val="24"/>
      <w:szCs w:val="24"/>
      <w:lang w:val="x-none" w:eastAsia="x-none"/>
    </w:rPr>
  </w:style>
  <w:style w:type="character" w:customStyle="1" w:styleId="DocumentMapChar">
    <w:name w:val="Document Map Char"/>
    <w:link w:val="DocumentMap"/>
    <w:uiPriority w:val="99"/>
    <w:semiHidden/>
    <w:rsid w:val="0008563D"/>
    <w:rPr>
      <w:rFonts w:ascii="Times New Roman" w:hAnsi="Times New Roman" w:cs="Times New Roman"/>
      <w:sz w:val="24"/>
      <w:szCs w:val="24"/>
    </w:rPr>
  </w:style>
  <w:style w:type="table" w:customStyle="1" w:styleId="LightShading12">
    <w:name w:val="Light Shading12"/>
    <w:basedOn w:val="TableNormal"/>
    <w:uiPriority w:val="60"/>
    <w:rsid w:val="00166FAD"/>
    <w:rPr>
      <w:color w:val="000000"/>
      <w:sz w:val="22"/>
      <w:szCs w:val="22"/>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363719"/>
    <w:rPr>
      <w:color w:val="000000"/>
      <w:sz w:val="22"/>
      <w:szCs w:val="22"/>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fault">
    <w:name w:val="Default"/>
    <w:rsid w:val="00441A4F"/>
    <w:pPr>
      <w:autoSpaceDE w:val="0"/>
      <w:autoSpaceDN w:val="0"/>
      <w:adjustRightInd w:val="0"/>
    </w:pPr>
    <w:rPr>
      <w:rFonts w:ascii="Gill Sans MT" w:hAnsi="Gill Sans MT" w:cs="Gill Sans MT"/>
      <w:color w:val="000000"/>
      <w:sz w:val="24"/>
      <w:szCs w:val="24"/>
    </w:rPr>
  </w:style>
  <w:style w:type="character" w:styleId="Strong">
    <w:name w:val="Strong"/>
    <w:basedOn w:val="DefaultParagraphFont"/>
    <w:uiPriority w:val="22"/>
    <w:qFormat/>
    <w:rsid w:val="00520E9F"/>
    <w:rPr>
      <w:b/>
      <w:bCs/>
    </w:rPr>
  </w:style>
  <w:style w:type="paragraph" w:customStyle="1" w:styleId="MediumList2-Accent41">
    <w:name w:val="Medium List 2 - Accent 41"/>
    <w:basedOn w:val="Normal"/>
    <w:uiPriority w:val="34"/>
    <w:rsid w:val="00F7518E"/>
    <w:pPr>
      <w:autoSpaceDE w:val="0"/>
      <w:autoSpaceDN w:val="0"/>
      <w:adjustRightInd w:val="0"/>
      <w:spacing w:after="0" w:line="240" w:lineRule="auto"/>
      <w:ind w:left="720"/>
      <w:contextualSpacing/>
    </w:pPr>
    <w:rPr>
      <w:rFonts w:ascii="Dutch801BT-Bold" w:hAnsi="Dutch801BT-Bold" w:cs="Dutch801BT-Bold"/>
      <w:sz w:val="24"/>
      <w:szCs w:val="24"/>
    </w:rPr>
  </w:style>
  <w:style w:type="table" w:customStyle="1" w:styleId="TableGrid1">
    <w:name w:val="Table Grid1"/>
    <w:basedOn w:val="TableNormal"/>
    <w:next w:val="TableGrid"/>
    <w:uiPriority w:val="59"/>
    <w:rsid w:val="008865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متن"/>
    <w:link w:val="Char"/>
    <w:rsid w:val="0025306D"/>
    <w:pPr>
      <w:bidi/>
      <w:spacing w:after="100"/>
      <w:jc w:val="both"/>
    </w:pPr>
    <w:rPr>
      <w:rFonts w:ascii="Times New Roman" w:hAnsi="Times New Roman" w:cs="B Nazanin"/>
      <w:sz w:val="24"/>
      <w:szCs w:val="28"/>
      <w:lang w:bidi="fa-IR"/>
    </w:rPr>
  </w:style>
  <w:style w:type="character" w:customStyle="1" w:styleId="Char">
    <w:name w:val="متن Char"/>
    <w:link w:val="a"/>
    <w:rsid w:val="0025306D"/>
    <w:rPr>
      <w:rFonts w:ascii="Times New Roman" w:hAnsi="Times New Roman" w:cs="B Nazanin"/>
      <w:sz w:val="24"/>
      <w:szCs w:val="28"/>
      <w:lang w:bidi="fa-IR"/>
    </w:rPr>
  </w:style>
  <w:style w:type="table" w:customStyle="1" w:styleId="TableGrid11">
    <w:name w:val="Table Grid11"/>
    <w:basedOn w:val="TableNormal"/>
    <w:next w:val="TableGrid"/>
    <w:uiPriority w:val="59"/>
    <w:rsid w:val="006A62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32D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F547C6"/>
  </w:style>
  <w:style w:type="table" w:styleId="ListTable4-Accent6">
    <w:name w:val="List Table 4 Accent 6"/>
    <w:basedOn w:val="TableNormal"/>
    <w:uiPriority w:val="42"/>
    <w:rsid w:val="00D025AB"/>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olorfulShading-Accent31">
    <w:name w:val="Colorful Shading - Accent 31"/>
    <w:basedOn w:val="Normal"/>
    <w:uiPriority w:val="34"/>
    <w:rsid w:val="00321AA7"/>
    <w:pPr>
      <w:spacing w:before="200" w:after="0"/>
      <w:ind w:left="720"/>
      <w:contextualSpacing/>
    </w:pPr>
  </w:style>
  <w:style w:type="paragraph" w:styleId="NormalWeb">
    <w:name w:val="Normal (Web)"/>
    <w:basedOn w:val="Normal"/>
    <w:uiPriority w:val="99"/>
    <w:unhideWhenUsed/>
    <w:rsid w:val="00B345F6"/>
    <w:rPr>
      <w:rFonts w:ascii="Times New Roman" w:hAnsi="Times New Roman" w:cs="Times New Roman"/>
      <w:sz w:val="24"/>
      <w:szCs w:val="24"/>
    </w:rPr>
  </w:style>
  <w:style w:type="table" w:styleId="ListTable6Colorful-Accent6">
    <w:name w:val="List Table 6 Colorful Accent 6"/>
    <w:basedOn w:val="TableNormal"/>
    <w:uiPriority w:val="44"/>
    <w:rsid w:val="00496EEF"/>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OCHeading1">
    <w:name w:val="TOC Heading1"/>
    <w:basedOn w:val="TableNormal"/>
    <w:uiPriority w:val="60"/>
    <w:qFormat/>
    <w:rsid w:val="00973F8F"/>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UnresolvedMention3">
    <w:name w:val="Unresolved Mention3"/>
    <w:uiPriority w:val="99"/>
    <w:semiHidden/>
    <w:unhideWhenUsed/>
    <w:rsid w:val="006F0557"/>
    <w:rPr>
      <w:color w:val="605E5C"/>
      <w:shd w:val="clear" w:color="auto" w:fill="E1DFDD"/>
    </w:rPr>
  </w:style>
  <w:style w:type="character" w:customStyle="1" w:styleId="UnresolvedMention1">
    <w:name w:val="Unresolved Mention1"/>
    <w:uiPriority w:val="99"/>
    <w:rsid w:val="00AA1BB6"/>
    <w:rPr>
      <w:color w:val="605E5C"/>
      <w:shd w:val="clear" w:color="auto" w:fill="E1DFDD"/>
    </w:rPr>
  </w:style>
  <w:style w:type="table" w:customStyle="1" w:styleId="LightGrid3">
    <w:name w:val="Light Grid3"/>
    <w:basedOn w:val="TableNormal"/>
    <w:uiPriority w:val="62"/>
    <w:rsid w:val="00C67ED1"/>
    <w:rPr>
      <w:rFonts w:ascii="Tahoma" w:eastAsia="Times New Roman" w:hAnsi="Tahoma"/>
      <w:sz w:val="24"/>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MS Mincho" w:eastAsia="Times New Roman" w:hAnsi="MS Minch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MS Mincho" w:eastAsia="Times New Roman" w:hAnsi="MS Minch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Subtitle">
    <w:name w:val="Subtitle"/>
    <w:basedOn w:val="Normal"/>
    <w:next w:val="Normal"/>
    <w:link w:val="SubtitleChar"/>
    <w:uiPriority w:val="11"/>
    <w:qFormat/>
    <w:rsid w:val="00520E9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20E9F"/>
    <w:rPr>
      <w:rFonts w:asciiTheme="majorHAnsi" w:eastAsiaTheme="majorEastAsia" w:hAnsiTheme="majorHAnsi" w:cstheme="majorBidi"/>
      <w:sz w:val="24"/>
      <w:szCs w:val="24"/>
    </w:rPr>
  </w:style>
  <w:style w:type="character" w:styleId="Emphasis">
    <w:name w:val="Emphasis"/>
    <w:basedOn w:val="DefaultParagraphFont"/>
    <w:uiPriority w:val="20"/>
    <w:qFormat/>
    <w:rsid w:val="00520E9F"/>
    <w:rPr>
      <w:i/>
      <w:iCs/>
    </w:rPr>
  </w:style>
  <w:style w:type="character" w:customStyle="1" w:styleId="UnresolvedMention2">
    <w:name w:val="Unresolved Mention2"/>
    <w:uiPriority w:val="48"/>
    <w:rsid w:val="00D843AF"/>
    <w:rPr>
      <w:color w:val="605E5C"/>
      <w:shd w:val="clear" w:color="auto" w:fill="E1DFDD"/>
    </w:rPr>
  </w:style>
  <w:style w:type="table" w:styleId="ListTable2-Accent2">
    <w:name w:val="List Table 2 Accent 2"/>
    <w:basedOn w:val="TableNormal"/>
    <w:uiPriority w:val="99"/>
    <w:semiHidden/>
    <w:unhideWhenUsed/>
    <w:qFormat/>
    <w:rsid w:val="00D015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
    <w:name w:val="Grid Table 21"/>
    <w:basedOn w:val="TableNormal"/>
    <w:next w:val="ListTable2-Accent2"/>
    <w:uiPriority w:val="47"/>
    <w:rsid w:val="00D01511"/>
    <w:rPr>
      <w:rFonts w:ascii="Times New Roman" w:hAnsi="Times New Roman" w:cs="B Nazanin"/>
      <w:sz w:val="22"/>
      <w:szCs w:val="22"/>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FollowedHyperlink">
    <w:name w:val="FollowedHyperlink"/>
    <w:uiPriority w:val="99"/>
    <w:semiHidden/>
    <w:unhideWhenUsed/>
    <w:rsid w:val="0017450F"/>
    <w:rPr>
      <w:color w:val="954F72"/>
      <w:u w:val="single"/>
    </w:rPr>
  </w:style>
  <w:style w:type="character" w:customStyle="1" w:styleId="UnresolvedMention4">
    <w:name w:val="Unresolved Mention4"/>
    <w:uiPriority w:val="51"/>
    <w:rsid w:val="003F5F58"/>
    <w:rPr>
      <w:color w:val="605E5C"/>
      <w:shd w:val="clear" w:color="auto" w:fill="E1DFDD"/>
    </w:rPr>
  </w:style>
  <w:style w:type="paragraph" w:styleId="Caption">
    <w:name w:val="caption"/>
    <w:basedOn w:val="Normal"/>
    <w:next w:val="Normal"/>
    <w:uiPriority w:val="35"/>
    <w:unhideWhenUsed/>
    <w:qFormat/>
    <w:rsid w:val="00520E9F"/>
    <w:pPr>
      <w:spacing w:line="240" w:lineRule="auto"/>
    </w:pPr>
    <w:rPr>
      <w:b/>
      <w:bCs/>
      <w:smallCaps/>
      <w:color w:val="595959" w:themeColor="text1" w:themeTint="A6"/>
      <w:spacing w:val="6"/>
    </w:rPr>
  </w:style>
  <w:style w:type="character" w:customStyle="1" w:styleId="html-italic">
    <w:name w:val="html-italic"/>
    <w:rsid w:val="003F5F31"/>
  </w:style>
  <w:style w:type="character" w:customStyle="1" w:styleId="u-visually-hidden">
    <w:name w:val="u-visually-hidden"/>
    <w:rsid w:val="003F5F31"/>
  </w:style>
  <w:style w:type="character" w:customStyle="1" w:styleId="FootnoteTextChar">
    <w:name w:val="Footnote Text Char"/>
    <w:link w:val="FootnoteText"/>
    <w:uiPriority w:val="99"/>
    <w:rsid w:val="003F5F31"/>
    <w:rPr>
      <w:rFonts w:eastAsia="Times New Roman" w:cs="Times New Roman"/>
    </w:rPr>
  </w:style>
  <w:style w:type="paragraph" w:styleId="FootnoteText">
    <w:name w:val="footnote text"/>
    <w:basedOn w:val="Normal"/>
    <w:link w:val="FootnoteTextChar"/>
    <w:uiPriority w:val="99"/>
    <w:unhideWhenUsed/>
    <w:rsid w:val="003F5F31"/>
    <w:pPr>
      <w:spacing w:after="0" w:line="240" w:lineRule="auto"/>
    </w:pPr>
    <w:rPr>
      <w:rFonts w:eastAsia="Times New Roman" w:cs="Times New Roman"/>
      <w:lang w:val="x-none" w:eastAsia="x-none"/>
    </w:rPr>
  </w:style>
  <w:style w:type="character" w:customStyle="1" w:styleId="cit">
    <w:name w:val="cit"/>
    <w:rsid w:val="003F5F31"/>
  </w:style>
  <w:style w:type="character" w:customStyle="1" w:styleId="fm-vol-iss-date">
    <w:name w:val="fm-vol-iss-date"/>
    <w:rsid w:val="003F5F31"/>
  </w:style>
  <w:style w:type="character" w:customStyle="1" w:styleId="doi">
    <w:name w:val="doi"/>
    <w:rsid w:val="003F5F31"/>
  </w:style>
  <w:style w:type="character" w:customStyle="1" w:styleId="ui-ncbitoggler-master-text">
    <w:name w:val="ui-ncbitoggler-master-text"/>
    <w:rsid w:val="003F5F31"/>
  </w:style>
  <w:style w:type="paragraph" w:customStyle="1" w:styleId="EndNoteBibliographyTitle">
    <w:name w:val="EndNote Bibliography Title"/>
    <w:basedOn w:val="Normal"/>
    <w:link w:val="EndNoteBibliographyTitleChar"/>
    <w:rsid w:val="003F5F31"/>
    <w:pPr>
      <w:spacing w:after="0" w:line="259" w:lineRule="auto"/>
      <w:jc w:val="center"/>
    </w:pPr>
    <w:rPr>
      <w:rFonts w:ascii="Calibri" w:hAnsi="Calibri" w:cs="Calibri"/>
      <w:noProof/>
      <w:lang w:val="x-none" w:eastAsia="x-none"/>
    </w:rPr>
  </w:style>
  <w:style w:type="character" w:customStyle="1" w:styleId="EndNoteBibliographyTitleChar">
    <w:name w:val="EndNote Bibliography Title Char"/>
    <w:link w:val="EndNoteBibliographyTitle"/>
    <w:rsid w:val="003F5F31"/>
    <w:rPr>
      <w:rFonts w:ascii="Calibri" w:hAnsi="Calibri" w:cs="Calibri"/>
      <w:noProof/>
      <w:lang w:val="x-none" w:eastAsia="x-none"/>
    </w:rPr>
  </w:style>
  <w:style w:type="paragraph" w:customStyle="1" w:styleId="EndNoteBibliography">
    <w:name w:val="EndNote Bibliography"/>
    <w:basedOn w:val="Normal"/>
    <w:link w:val="EndNoteBibliographyChar"/>
    <w:rsid w:val="003F5F31"/>
    <w:pPr>
      <w:spacing w:after="160" w:line="240" w:lineRule="auto"/>
    </w:pPr>
    <w:rPr>
      <w:rFonts w:ascii="Calibri" w:hAnsi="Calibri" w:cs="Calibri"/>
      <w:noProof/>
      <w:lang w:val="x-none" w:eastAsia="x-none"/>
    </w:rPr>
  </w:style>
  <w:style w:type="character" w:customStyle="1" w:styleId="EndNoteBibliographyChar">
    <w:name w:val="EndNote Bibliography Char"/>
    <w:link w:val="EndNoteBibliography"/>
    <w:rsid w:val="003F5F31"/>
    <w:rPr>
      <w:rFonts w:ascii="Calibri" w:hAnsi="Calibri" w:cs="Calibri"/>
      <w:noProof/>
      <w:lang w:val="x-none" w:eastAsia="x-none"/>
    </w:rPr>
  </w:style>
  <w:style w:type="character" w:styleId="FootnoteReference">
    <w:name w:val="footnote reference"/>
    <w:uiPriority w:val="99"/>
    <w:semiHidden/>
    <w:unhideWhenUsed/>
    <w:rsid w:val="008963B1"/>
    <w:rPr>
      <w:vertAlign w:val="superscript"/>
    </w:rPr>
  </w:style>
  <w:style w:type="table" w:customStyle="1" w:styleId="ListTable311">
    <w:name w:val="List Table 311"/>
    <w:basedOn w:val="TableNormal"/>
    <w:uiPriority w:val="48"/>
    <w:rsid w:val="0009455F"/>
    <w:rPr>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GridTable3-Accent2">
    <w:name w:val="Grid Table 3 Accent 2"/>
    <w:basedOn w:val="TableNormal"/>
    <w:uiPriority w:val="99"/>
    <w:qFormat/>
    <w:rsid w:val="009F6A39"/>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Heading4Char">
    <w:name w:val="Heading 4 Char"/>
    <w:basedOn w:val="DefaultParagraphFont"/>
    <w:link w:val="Heading4"/>
    <w:uiPriority w:val="9"/>
    <w:rsid w:val="00520E9F"/>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520E9F"/>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520E9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520E9F"/>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rsid w:val="00520E9F"/>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rsid w:val="00520E9F"/>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520E9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520E9F"/>
    <w:rPr>
      <w:rFonts w:asciiTheme="majorHAnsi" w:eastAsiaTheme="majorEastAsia" w:hAnsiTheme="majorHAnsi" w:cstheme="majorBidi"/>
      <w:color w:val="4472C4" w:themeColor="accent1"/>
      <w:spacing w:val="-10"/>
      <w:sz w:val="56"/>
      <w:szCs w:val="56"/>
    </w:rPr>
  </w:style>
  <w:style w:type="paragraph" w:customStyle="1" w:styleId="MediumGrid1-Accent31">
    <w:name w:val="Medium Grid 1 - Accent 31"/>
    <w:link w:val="MediumGrid1-Accent3Char"/>
    <w:uiPriority w:val="1"/>
    <w:rsid w:val="00937877"/>
    <w:pPr>
      <w:jc w:val="both"/>
    </w:pPr>
    <w:rPr>
      <w:rFonts w:ascii="Times New Roman" w:hAnsi="Times New Roman" w:cs="Times New Roman"/>
    </w:rPr>
  </w:style>
  <w:style w:type="paragraph" w:customStyle="1" w:styleId="LightList-Accent51">
    <w:name w:val="Light List - Accent 51"/>
    <w:basedOn w:val="Normal"/>
    <w:uiPriority w:val="34"/>
    <w:rsid w:val="00937877"/>
    <w:pPr>
      <w:spacing w:after="160" w:line="259" w:lineRule="auto"/>
      <w:ind w:left="720"/>
      <w:contextualSpacing/>
    </w:pPr>
    <w:rPr>
      <w:rFonts w:ascii="Times New Roman" w:hAnsi="Times New Roman" w:cs="Times New Roman"/>
    </w:rPr>
  </w:style>
  <w:style w:type="paragraph" w:customStyle="1" w:styleId="LightGrid-Accent51">
    <w:name w:val="Light Grid - Accent 51"/>
    <w:basedOn w:val="Normal"/>
    <w:next w:val="Normal"/>
    <w:link w:val="LightGrid-Accent5Char"/>
    <w:uiPriority w:val="29"/>
    <w:rsid w:val="00937877"/>
    <w:pPr>
      <w:spacing w:after="160" w:line="259" w:lineRule="auto"/>
    </w:pPr>
    <w:rPr>
      <w:rFonts w:ascii="Times New Roman" w:hAnsi="Times New Roman" w:cs="Times New Roman"/>
      <w:i/>
      <w:iCs/>
      <w:lang w:val="x-none" w:eastAsia="x-none"/>
    </w:rPr>
  </w:style>
  <w:style w:type="character" w:customStyle="1" w:styleId="LightGrid-Accent5Char">
    <w:name w:val="Light Grid - Accent 5 Char"/>
    <w:link w:val="LightGrid-Accent51"/>
    <w:uiPriority w:val="29"/>
    <w:rsid w:val="00937877"/>
    <w:rPr>
      <w:rFonts w:ascii="Times New Roman" w:hAnsi="Times New Roman" w:cs="Times New Roman"/>
      <w:i/>
      <w:iCs/>
    </w:rPr>
  </w:style>
  <w:style w:type="paragraph" w:customStyle="1" w:styleId="MediumShading1-Accent51">
    <w:name w:val="Medium Shading 1 - Accent 51"/>
    <w:basedOn w:val="Normal"/>
    <w:next w:val="Normal"/>
    <w:link w:val="MediumShading1-Accent5Char"/>
    <w:uiPriority w:val="30"/>
    <w:rsid w:val="00937877"/>
    <w:pPr>
      <w:pBdr>
        <w:top w:val="single" w:sz="8" w:space="1" w:color="70AD47"/>
      </w:pBdr>
      <w:spacing w:before="140" w:after="140" w:line="259" w:lineRule="auto"/>
      <w:ind w:left="1440" w:right="1440"/>
    </w:pPr>
    <w:rPr>
      <w:rFonts w:ascii="Times New Roman" w:hAnsi="Times New Roman" w:cs="Times New Roman"/>
      <w:b/>
      <w:bCs/>
      <w:i/>
      <w:iCs/>
      <w:lang w:val="x-none" w:eastAsia="x-none"/>
    </w:rPr>
  </w:style>
  <w:style w:type="character" w:customStyle="1" w:styleId="MediumShading1-Accent5Char">
    <w:name w:val="Medium Shading 1 - Accent 5 Char"/>
    <w:link w:val="MediumShading1-Accent51"/>
    <w:uiPriority w:val="30"/>
    <w:rsid w:val="00937877"/>
    <w:rPr>
      <w:rFonts w:ascii="Times New Roman" w:hAnsi="Times New Roman" w:cs="Times New Roman"/>
      <w:b/>
      <w:bCs/>
      <w:i/>
      <w:iCs/>
    </w:rPr>
  </w:style>
  <w:style w:type="character" w:customStyle="1" w:styleId="GridTable1Light-Accent22">
    <w:name w:val="Grid Table 1 Light - Accent 22"/>
    <w:uiPriority w:val="19"/>
    <w:rsid w:val="00937877"/>
    <w:rPr>
      <w:i/>
      <w:iCs/>
    </w:rPr>
  </w:style>
  <w:style w:type="character" w:customStyle="1" w:styleId="GridTable2-Accent21">
    <w:name w:val="Grid Table 2 - Accent 21"/>
    <w:uiPriority w:val="21"/>
    <w:rsid w:val="00937877"/>
    <w:rPr>
      <w:b/>
      <w:bCs/>
      <w:i/>
      <w:iCs/>
      <w:color w:val="70AD47"/>
      <w:spacing w:val="10"/>
    </w:rPr>
  </w:style>
  <w:style w:type="character" w:customStyle="1" w:styleId="GridTable3-Accent21">
    <w:name w:val="Grid Table 3 - Accent 21"/>
    <w:uiPriority w:val="31"/>
    <w:rsid w:val="00937877"/>
    <w:rPr>
      <w:b/>
      <w:bCs/>
    </w:rPr>
  </w:style>
  <w:style w:type="character" w:customStyle="1" w:styleId="GridTable4-Accent21">
    <w:name w:val="Grid Table 4 - Accent 21"/>
    <w:uiPriority w:val="32"/>
    <w:rsid w:val="00937877"/>
    <w:rPr>
      <w:b/>
      <w:bCs/>
      <w:smallCaps/>
      <w:spacing w:val="5"/>
      <w:sz w:val="22"/>
      <w:szCs w:val="22"/>
      <w:u w:val="single"/>
    </w:rPr>
  </w:style>
  <w:style w:type="character" w:customStyle="1" w:styleId="GridTable5Dark-Accent21">
    <w:name w:val="Grid Table 5 Dark - Accent 21"/>
    <w:uiPriority w:val="33"/>
    <w:rsid w:val="00937877"/>
    <w:rPr>
      <w:rFonts w:ascii="Calibri Light" w:eastAsia="SimSun" w:hAnsi="Calibri Light" w:cs="Times New Roman"/>
      <w:i/>
      <w:iCs/>
      <w:sz w:val="20"/>
      <w:szCs w:val="20"/>
    </w:rPr>
  </w:style>
  <w:style w:type="paragraph" w:customStyle="1" w:styleId="GridTable7Colorful-Accent21">
    <w:name w:val="Grid Table 7 Colorful - Accent 21"/>
    <w:basedOn w:val="Heading1"/>
    <w:next w:val="Normal"/>
    <w:uiPriority w:val="39"/>
    <w:semiHidden/>
    <w:unhideWhenUsed/>
    <w:rsid w:val="00937877"/>
    <w:pPr>
      <w:keepNext w:val="0"/>
      <w:spacing w:before="300" w:after="40" w:line="259" w:lineRule="auto"/>
      <w:outlineLvl w:val="9"/>
    </w:pPr>
    <w:rPr>
      <w:rFonts w:ascii="Times New Roman" w:eastAsia="Calibri" w:hAnsi="Times New Roman"/>
      <w:b/>
      <w:bCs/>
      <w:smallCaps/>
      <w:spacing w:val="5"/>
    </w:rPr>
  </w:style>
  <w:style w:type="paragraph" w:styleId="BodyTextIndent">
    <w:name w:val="Body Text Indent"/>
    <w:basedOn w:val="Normal"/>
    <w:link w:val="BodyTextIndentChar"/>
    <w:unhideWhenUsed/>
    <w:rsid w:val="00937877"/>
    <w:pPr>
      <w:spacing w:after="0" w:line="360" w:lineRule="auto"/>
      <w:ind w:firstLine="720"/>
    </w:pPr>
    <w:rPr>
      <w:rFonts w:ascii="Times New Roman" w:eastAsia="Batang" w:hAnsi="Times New Roman" w:cs="Times New Roman"/>
      <w:sz w:val="24"/>
      <w:szCs w:val="24"/>
      <w:lang w:val="x-none" w:eastAsia="x-none"/>
    </w:rPr>
  </w:style>
  <w:style w:type="character" w:customStyle="1" w:styleId="BodyTextIndentChar">
    <w:name w:val="Body Text Indent Char"/>
    <w:link w:val="BodyTextIndent"/>
    <w:rsid w:val="00937877"/>
    <w:rPr>
      <w:rFonts w:ascii="Times New Roman" w:eastAsia="Batang" w:hAnsi="Times New Roman" w:cs="Times New Roman"/>
      <w:sz w:val="24"/>
      <w:szCs w:val="24"/>
    </w:rPr>
  </w:style>
  <w:style w:type="paragraph" w:styleId="EndnoteText">
    <w:name w:val="endnote text"/>
    <w:basedOn w:val="Normal"/>
    <w:link w:val="EndnoteTextChar"/>
    <w:uiPriority w:val="99"/>
    <w:semiHidden/>
    <w:unhideWhenUsed/>
    <w:rsid w:val="00937877"/>
    <w:pPr>
      <w:spacing w:after="0" w:line="240" w:lineRule="auto"/>
    </w:pPr>
    <w:rPr>
      <w:rFonts w:ascii="Times New Roman" w:hAnsi="Times New Roman" w:cs="Times New Roman"/>
      <w:lang w:val="x-none" w:eastAsia="x-none"/>
    </w:rPr>
  </w:style>
  <w:style w:type="character" w:customStyle="1" w:styleId="EndnoteTextChar">
    <w:name w:val="Endnote Text Char"/>
    <w:link w:val="EndnoteText"/>
    <w:uiPriority w:val="99"/>
    <w:semiHidden/>
    <w:rsid w:val="00937877"/>
    <w:rPr>
      <w:rFonts w:ascii="Times New Roman" w:hAnsi="Times New Roman" w:cs="Times New Roman"/>
    </w:rPr>
  </w:style>
  <w:style w:type="character" w:styleId="EndnoteReference">
    <w:name w:val="endnote reference"/>
    <w:uiPriority w:val="99"/>
    <w:semiHidden/>
    <w:unhideWhenUsed/>
    <w:rsid w:val="00937877"/>
    <w:rPr>
      <w:vertAlign w:val="superscript"/>
    </w:rPr>
  </w:style>
  <w:style w:type="table" w:styleId="GridTable6Colorful-Accent5">
    <w:name w:val="Grid Table 6 Colorful Accent 5"/>
    <w:basedOn w:val="TableNormal"/>
    <w:uiPriority w:val="42"/>
    <w:rsid w:val="00937877"/>
    <w:rPr>
      <w:rFonts w:ascii="Times New Roman"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ediumList2-Accent31">
    <w:name w:val="Medium List 2 - Accent 31"/>
    <w:uiPriority w:val="99"/>
    <w:semiHidden/>
    <w:rsid w:val="00937877"/>
    <w:rPr>
      <w:color w:val="808080"/>
    </w:rPr>
  </w:style>
  <w:style w:type="paragraph" w:customStyle="1" w:styleId="MDPI11articletype">
    <w:name w:val="MDPI_1.1_article_type"/>
    <w:basedOn w:val="MDPI31text"/>
    <w:next w:val="MDPI12title"/>
    <w:rsid w:val="00D34E4E"/>
    <w:pPr>
      <w:spacing w:before="240" w:line="240" w:lineRule="auto"/>
      <w:ind w:firstLine="0"/>
      <w:jc w:val="left"/>
    </w:pPr>
    <w:rPr>
      <w:i/>
    </w:rPr>
  </w:style>
  <w:style w:type="paragraph" w:customStyle="1" w:styleId="MDPI12title">
    <w:name w:val="MDPI_1.2_title"/>
    <w:next w:val="MDPI13authornames"/>
    <w:rsid w:val="00D34E4E"/>
    <w:pPr>
      <w:adjustRightInd w:val="0"/>
      <w:snapToGrid w:val="0"/>
      <w:spacing w:after="240" w:line="400" w:lineRule="exac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basedOn w:val="MDPI31text"/>
    <w:next w:val="MDPI14history"/>
    <w:rsid w:val="00D34E4E"/>
    <w:pPr>
      <w:ind w:firstLine="0"/>
      <w:jc w:val="left"/>
    </w:pPr>
    <w:rPr>
      <w:b/>
      <w:snapToGrid/>
    </w:rPr>
  </w:style>
  <w:style w:type="paragraph" w:customStyle="1" w:styleId="MDPI14history">
    <w:name w:val="MDPI_1.4_history"/>
    <w:basedOn w:val="MDPI62Acknowledgments"/>
    <w:next w:val="Normal"/>
    <w:rsid w:val="00D34E4E"/>
    <w:pPr>
      <w:ind w:left="113"/>
      <w:jc w:val="left"/>
    </w:pPr>
    <w:rPr>
      <w:snapToGrid/>
    </w:rPr>
  </w:style>
  <w:style w:type="paragraph" w:customStyle="1" w:styleId="MDPI16affiliation">
    <w:name w:val="MDPI_1.6_affiliation"/>
    <w:basedOn w:val="MDPI62Acknowledgments"/>
    <w:rsid w:val="00D34E4E"/>
    <w:pPr>
      <w:spacing w:before="0"/>
      <w:ind w:left="311" w:hanging="198"/>
      <w:jc w:val="left"/>
    </w:pPr>
    <w:rPr>
      <w:snapToGrid/>
      <w:szCs w:val="18"/>
    </w:rPr>
  </w:style>
  <w:style w:type="paragraph" w:customStyle="1" w:styleId="MDPI17abstract">
    <w:name w:val="MDPI_1.7_abstract"/>
    <w:basedOn w:val="MDPI31text"/>
    <w:next w:val="MDPI18keywords"/>
    <w:rsid w:val="00D34E4E"/>
    <w:pPr>
      <w:spacing w:before="240"/>
      <w:ind w:left="113" w:firstLine="0"/>
    </w:pPr>
    <w:rPr>
      <w:snapToGrid/>
    </w:rPr>
  </w:style>
  <w:style w:type="paragraph" w:customStyle="1" w:styleId="MDPI18keywords">
    <w:name w:val="MDPI_1.8_keywords"/>
    <w:basedOn w:val="MDPI31text"/>
    <w:next w:val="Normal"/>
    <w:rsid w:val="00D34E4E"/>
    <w:pPr>
      <w:spacing w:before="240"/>
      <w:ind w:left="113" w:firstLine="0"/>
    </w:pPr>
  </w:style>
  <w:style w:type="paragraph" w:customStyle="1" w:styleId="MDPI19line">
    <w:name w:val="MDPI_1.9_line"/>
    <w:basedOn w:val="MDPI31text"/>
    <w:rsid w:val="00D34E4E"/>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D34E4E"/>
    <w:pPr>
      <w:adjustRightInd w:val="0"/>
      <w:snapToGrid w:val="0"/>
      <w:spacing w:line="300" w:lineRule="exact"/>
      <w:jc w:val="center"/>
    </w:pPr>
    <w:rPr>
      <w:rFonts w:ascii="Times New Roman" w:eastAsia="SimSun" w:hAnsi="Times New Roman" w:cs="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headerjournallogo">
    <w:name w:val="MDPI_header_journal_logo"/>
    <w:rsid w:val="00D34E4E"/>
    <w:pPr>
      <w:adjustRightInd w:val="0"/>
      <w:snapToGrid w:val="0"/>
    </w:pPr>
    <w:rPr>
      <w:rFonts w:ascii="Palatino Linotype" w:eastAsia="Times New Roman" w:hAnsi="Palatino Linotype" w:cs="Times New Roman"/>
      <w:i/>
      <w:color w:val="000000"/>
      <w:sz w:val="24"/>
      <w:szCs w:val="22"/>
      <w:lang w:eastAsia="de-CH"/>
    </w:rPr>
  </w:style>
  <w:style w:type="paragraph" w:customStyle="1" w:styleId="MDPI32textnoindent">
    <w:name w:val="MDPI_3.2_text_no_indent"/>
    <w:basedOn w:val="MDPI31text"/>
    <w:rsid w:val="00D34E4E"/>
    <w:pPr>
      <w:ind w:firstLine="0"/>
    </w:pPr>
  </w:style>
  <w:style w:type="paragraph" w:customStyle="1" w:styleId="MDPI33textspaceafter">
    <w:name w:val="MDPI_3.3_text_space_after"/>
    <w:basedOn w:val="MDPI31text"/>
    <w:rsid w:val="00D34E4E"/>
    <w:pPr>
      <w:spacing w:after="240"/>
    </w:pPr>
  </w:style>
  <w:style w:type="paragraph" w:customStyle="1" w:styleId="MDPI34textspacebefore">
    <w:name w:val="MDPI_3.4_text_space_before"/>
    <w:basedOn w:val="MDPI31text"/>
    <w:rsid w:val="00D34E4E"/>
    <w:pPr>
      <w:spacing w:before="240"/>
    </w:pPr>
  </w:style>
  <w:style w:type="paragraph" w:customStyle="1" w:styleId="MDPI35textbeforelist">
    <w:name w:val="MDPI_3.5_text_before_list"/>
    <w:basedOn w:val="MDPI31text"/>
    <w:rsid w:val="00D34E4E"/>
  </w:style>
  <w:style w:type="paragraph" w:customStyle="1" w:styleId="MDPI36textafterlist">
    <w:name w:val="MDPI_3.6_text_after_list"/>
    <w:basedOn w:val="MDPI31text"/>
    <w:rsid w:val="00D34E4E"/>
    <w:pPr>
      <w:spacing w:before="120"/>
    </w:pPr>
  </w:style>
  <w:style w:type="paragraph" w:customStyle="1" w:styleId="MDPI37itemize">
    <w:name w:val="MDPI_3.7_itemize"/>
    <w:basedOn w:val="MDPI31text"/>
    <w:rsid w:val="00D34E4E"/>
    <w:pPr>
      <w:numPr>
        <w:numId w:val="1"/>
      </w:numPr>
      <w:ind w:left="425" w:hanging="425"/>
    </w:pPr>
  </w:style>
  <w:style w:type="paragraph" w:customStyle="1" w:styleId="MDPI38bullet">
    <w:name w:val="MDPI_3.8_bullet"/>
    <w:basedOn w:val="MDPI31text"/>
    <w:rsid w:val="00D34E4E"/>
    <w:pPr>
      <w:numPr>
        <w:numId w:val="2"/>
      </w:numPr>
      <w:ind w:left="425" w:hanging="425"/>
    </w:pPr>
  </w:style>
  <w:style w:type="paragraph" w:customStyle="1" w:styleId="MDPI39equation">
    <w:name w:val="MDPI_3.9_equation"/>
    <w:basedOn w:val="MDPI31text"/>
    <w:rsid w:val="00D34E4E"/>
    <w:pPr>
      <w:spacing w:before="120"/>
      <w:ind w:left="709" w:firstLine="0"/>
      <w:jc w:val="center"/>
    </w:pPr>
  </w:style>
  <w:style w:type="paragraph" w:customStyle="1" w:styleId="MDPI3aequationnumber">
    <w:name w:val="MDPI_3.a_equation_number"/>
    <w:basedOn w:val="MDPI31text"/>
    <w:rsid w:val="00D34E4E"/>
    <w:pPr>
      <w:spacing w:before="120" w:line="240" w:lineRule="auto"/>
      <w:ind w:firstLine="0"/>
      <w:jc w:val="right"/>
    </w:pPr>
  </w:style>
  <w:style w:type="paragraph" w:customStyle="1" w:styleId="MDPI62Acknowledgments">
    <w:name w:val="MDPI_6.2_Acknowledgments"/>
    <w:rsid w:val="00D34E4E"/>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41tablecaption">
    <w:name w:val="MDPI_4.1_table_caption"/>
    <w:basedOn w:val="MDPI62Acknowledgments"/>
    <w:rsid w:val="00D34E4E"/>
    <w:pPr>
      <w:spacing w:before="240" w:line="260" w:lineRule="atLeast"/>
      <w:ind w:left="425" w:right="425"/>
    </w:pPr>
    <w:rPr>
      <w:snapToGrid/>
      <w:szCs w:val="22"/>
    </w:rPr>
  </w:style>
  <w:style w:type="paragraph" w:customStyle="1" w:styleId="MDPI42tablebody">
    <w:name w:val="MDPI_4.2_table_body"/>
    <w:rsid w:val="00D34E4E"/>
    <w:pPr>
      <w:adjustRightInd w:val="0"/>
      <w:snapToGrid w:val="0"/>
      <w:spacing w:line="260" w:lineRule="atLeast"/>
      <w:jc w:val="center"/>
    </w:pPr>
    <w:rPr>
      <w:rFonts w:ascii="Palatino Linotype" w:eastAsia="Times New Roman" w:hAnsi="Palatino Linotype" w:cs="Times New Roman"/>
      <w:snapToGrid w:val="0"/>
      <w:color w:val="000000"/>
      <w:lang w:eastAsia="de-DE" w:bidi="en-US"/>
    </w:rPr>
  </w:style>
  <w:style w:type="paragraph" w:customStyle="1" w:styleId="MDPI43tablefooter">
    <w:name w:val="MDPI_4.3_table_footer"/>
    <w:basedOn w:val="MDPI41tablecaption"/>
    <w:next w:val="MDPI31text"/>
    <w:rsid w:val="00D34E4E"/>
    <w:pPr>
      <w:spacing w:before="0"/>
      <w:ind w:left="0" w:right="0"/>
    </w:pPr>
  </w:style>
  <w:style w:type="paragraph" w:customStyle="1" w:styleId="MDPI51figurecaption">
    <w:name w:val="MDPI_5.1_figure_caption"/>
    <w:basedOn w:val="MDPI62Acknowledgments"/>
    <w:rsid w:val="00D34E4E"/>
    <w:pPr>
      <w:spacing w:after="240" w:line="260" w:lineRule="atLeast"/>
      <w:ind w:left="425" w:right="425"/>
    </w:pPr>
    <w:rPr>
      <w:snapToGrid/>
    </w:rPr>
  </w:style>
  <w:style w:type="paragraph" w:customStyle="1" w:styleId="MDPI52figure">
    <w:name w:val="MDPI_5.2_figure"/>
    <w:rsid w:val="00D34E4E"/>
    <w:pPr>
      <w:jc w:val="center"/>
    </w:pPr>
    <w:rPr>
      <w:rFonts w:ascii="Palatino Linotype" w:eastAsia="Times New Roman" w:hAnsi="Palatino Linotype" w:cs="Times New Roman"/>
      <w:snapToGrid w:val="0"/>
      <w:color w:val="000000"/>
      <w:sz w:val="24"/>
      <w:lang w:eastAsia="de-DE" w:bidi="en-US"/>
    </w:rPr>
  </w:style>
  <w:style w:type="paragraph" w:customStyle="1" w:styleId="MDPI61Supplementary">
    <w:name w:val="MDPI_6.1_Supplementary"/>
    <w:basedOn w:val="MDPI62Acknowledgments"/>
    <w:rsid w:val="00D34E4E"/>
    <w:pPr>
      <w:spacing w:before="240"/>
    </w:pPr>
    <w:rPr>
      <w:lang w:eastAsia="en-US"/>
    </w:rPr>
  </w:style>
  <w:style w:type="paragraph" w:customStyle="1" w:styleId="MDPI63AuthorContributions">
    <w:name w:val="MDPI_6.3_AuthorContributions"/>
    <w:basedOn w:val="MDPI62Acknowledgments"/>
    <w:rsid w:val="00D34E4E"/>
    <w:rPr>
      <w:rFonts w:eastAsia="SimSun"/>
      <w:color w:val="auto"/>
      <w:lang w:eastAsia="en-US"/>
    </w:rPr>
  </w:style>
  <w:style w:type="paragraph" w:customStyle="1" w:styleId="MDPI64CoI">
    <w:name w:val="MDPI_6.4_CoI"/>
    <w:basedOn w:val="MDPI62Acknowledgments"/>
    <w:rsid w:val="00D34E4E"/>
  </w:style>
  <w:style w:type="paragraph" w:customStyle="1" w:styleId="MDPI81theorem">
    <w:name w:val="MDPI_8.1_theorem"/>
    <w:basedOn w:val="MDPI32textnoindent"/>
    <w:rsid w:val="00D34E4E"/>
    <w:rPr>
      <w:i/>
    </w:rPr>
  </w:style>
  <w:style w:type="paragraph" w:customStyle="1" w:styleId="MDPI82proof">
    <w:name w:val="MDPI_8.2_proof"/>
    <w:basedOn w:val="MDPI32textnoindent"/>
    <w:rsid w:val="00D34E4E"/>
  </w:style>
  <w:style w:type="paragraph" w:customStyle="1" w:styleId="MDPI31text">
    <w:name w:val="MDPI_3.1_text"/>
    <w:rsid w:val="00D34E4E"/>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MDPI23heading3">
    <w:name w:val="MDPI_2.3_heading3"/>
    <w:basedOn w:val="MDPI31text"/>
    <w:rsid w:val="00D34E4E"/>
    <w:pPr>
      <w:spacing w:before="240"/>
      <w:ind w:firstLine="0"/>
      <w:jc w:val="left"/>
      <w:outlineLvl w:val="2"/>
    </w:pPr>
  </w:style>
  <w:style w:type="paragraph" w:customStyle="1" w:styleId="MDPI21heading1">
    <w:name w:val="MDPI_2.1_heading1"/>
    <w:basedOn w:val="MDPI23heading3"/>
    <w:rsid w:val="00D34E4E"/>
    <w:pPr>
      <w:outlineLvl w:val="0"/>
    </w:pPr>
    <w:rPr>
      <w:b/>
    </w:rPr>
  </w:style>
  <w:style w:type="paragraph" w:customStyle="1" w:styleId="MDPI22heading2">
    <w:name w:val="MDPI_2.2_heading2"/>
    <w:basedOn w:val="Normal"/>
    <w:rsid w:val="00D34E4E"/>
    <w:pPr>
      <w:kinsoku w:val="0"/>
      <w:overflowPunct w:val="0"/>
      <w:autoSpaceDE w:val="0"/>
      <w:autoSpaceDN w:val="0"/>
      <w:adjustRightInd w:val="0"/>
      <w:snapToGrid w:val="0"/>
      <w:spacing w:before="240" w:line="260" w:lineRule="atLeast"/>
      <w:outlineLvl w:val="1"/>
    </w:pPr>
    <w:rPr>
      <w:rFonts w:ascii="Palatino Linotype" w:eastAsia="Times New Roman" w:hAnsi="Palatino Linotype" w:cs="Times New Roman"/>
      <w:i/>
      <w:noProof/>
      <w:snapToGrid w:val="0"/>
      <w:color w:val="000000"/>
      <w:lang w:eastAsia="de-DE" w:bidi="en-US"/>
    </w:rPr>
  </w:style>
  <w:style w:type="paragraph" w:customStyle="1" w:styleId="MDPI71References">
    <w:name w:val="MDPI_7.1_References"/>
    <w:basedOn w:val="MDPI62Acknowledgments"/>
    <w:rsid w:val="00D34E4E"/>
    <w:pPr>
      <w:numPr>
        <w:numId w:val="3"/>
      </w:numPr>
      <w:spacing w:before="0" w:line="260" w:lineRule="atLeast"/>
      <w:ind w:left="425" w:hanging="425"/>
    </w:pPr>
  </w:style>
  <w:style w:type="character" w:styleId="LineNumber">
    <w:name w:val="line number"/>
    <w:uiPriority w:val="99"/>
    <w:semiHidden/>
    <w:unhideWhenUsed/>
    <w:rsid w:val="00D34E4E"/>
  </w:style>
  <w:style w:type="table" w:customStyle="1" w:styleId="MDPI41threelinetable">
    <w:name w:val="MDPI_4.1_three_line_table"/>
    <w:basedOn w:val="TableNormal"/>
    <w:uiPriority w:val="99"/>
    <w:rsid w:val="00D34E4E"/>
    <w:pPr>
      <w:adjustRightInd w:val="0"/>
      <w:snapToGrid w:val="0"/>
      <w:jc w:val="center"/>
    </w:pPr>
    <w:rPr>
      <w:rFonts w:ascii="Palatino Linotype" w:eastAsia="SimSun" w:hAnsi="Palatino Linotype" w:cs="Times New Roman"/>
      <w:color w:val="000000"/>
    </w:rPr>
    <w:tblPr>
      <w:jc w:val="center"/>
      <w:tblBorders>
        <w:top w:val="single" w:sz="8" w:space="0" w:color="auto"/>
        <w:bottom w:val="single" w:sz="8" w:space="0" w:color="auto"/>
      </w:tblBorders>
    </w:tblPr>
    <w:trPr>
      <w:jc w:val="center"/>
    </w:trPr>
    <w:tcPr>
      <w:vAlign w:val="center"/>
    </w:tcPr>
    <w:tblStylePr w:type="firstRow">
      <w:rPr>
        <w:rFonts w:ascii="SimSun" w:hAnsi="SimSun"/>
        <w:b/>
        <w:i w:val="0"/>
        <w:sz w:val="20"/>
      </w:rPr>
      <w:tblPr/>
      <w:tcPr>
        <w:tcBorders>
          <w:bottom w:val="single" w:sz="4" w:space="0" w:color="auto"/>
        </w:tcBorders>
      </w:tcPr>
    </w:tblStylePr>
  </w:style>
  <w:style w:type="table" w:customStyle="1" w:styleId="PlainTable41">
    <w:name w:val="Plain Table 41"/>
    <w:basedOn w:val="TableNormal"/>
    <w:uiPriority w:val="44"/>
    <w:rsid w:val="00D34E4E"/>
    <w:rPr>
      <w:rFonts w:eastAsia="SimSun"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diumGrid1-Accent3Char">
    <w:name w:val="Medium Grid 1 - Accent 3 Char"/>
    <w:link w:val="MediumGrid1-Accent31"/>
    <w:uiPriority w:val="1"/>
    <w:locked/>
    <w:rsid w:val="00D34E4E"/>
    <w:rPr>
      <w:rFonts w:ascii="Times New Roman" w:hAnsi="Times New Roman" w:cs="Times New Roman"/>
      <w:lang w:val="en-US" w:eastAsia="en-US" w:bidi="ar-SA"/>
    </w:rPr>
  </w:style>
  <w:style w:type="character" w:customStyle="1" w:styleId="st">
    <w:name w:val="st"/>
    <w:rsid w:val="00D34E4E"/>
  </w:style>
  <w:style w:type="character" w:styleId="HTMLCite">
    <w:name w:val="HTML Cite"/>
    <w:uiPriority w:val="99"/>
    <w:semiHidden/>
    <w:unhideWhenUsed/>
    <w:rsid w:val="00D34E4E"/>
    <w:rPr>
      <w:i/>
      <w:iCs/>
    </w:rPr>
  </w:style>
  <w:style w:type="character" w:customStyle="1" w:styleId="label">
    <w:name w:val="label"/>
    <w:rsid w:val="00D34E4E"/>
  </w:style>
  <w:style w:type="paragraph" w:customStyle="1" w:styleId="LightShading-Accent51">
    <w:name w:val="Light Shading - Accent 51"/>
    <w:hidden/>
    <w:uiPriority w:val="99"/>
    <w:semiHidden/>
    <w:rsid w:val="00D34E4E"/>
    <w:rPr>
      <w:rFonts w:ascii="Times New Roman" w:eastAsia="Times New Roman" w:hAnsi="Times New Roman" w:cs="Times New Roman"/>
      <w:color w:val="000000"/>
      <w:sz w:val="24"/>
      <w:lang w:eastAsia="de-DE"/>
    </w:rPr>
  </w:style>
  <w:style w:type="table" w:styleId="PlainTable1">
    <w:name w:val="Plain Table 1"/>
    <w:basedOn w:val="TableNormal"/>
    <w:uiPriority w:val="99"/>
    <w:semiHidden/>
    <w:unhideWhenUsed/>
    <w:rsid w:val="007A713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PlainTable22">
    <w:name w:val="Plain Table 22"/>
    <w:basedOn w:val="TableNormal"/>
    <w:next w:val="GridTable6Colorful-Accent5"/>
    <w:uiPriority w:val="42"/>
    <w:rsid w:val="00B921FA"/>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2">
    <w:name w:val="Table Grid12"/>
    <w:basedOn w:val="TableNormal"/>
    <w:next w:val="TableGrid"/>
    <w:uiPriority w:val="59"/>
    <w:rsid w:val="00D423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D423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52"/>
    <w:rsid w:val="00835954"/>
    <w:rPr>
      <w:color w:val="605E5C"/>
      <w:shd w:val="clear" w:color="auto" w:fill="E1DFDD"/>
    </w:rPr>
  </w:style>
  <w:style w:type="table" w:customStyle="1" w:styleId="TableGrid3">
    <w:name w:val="Table Grid3"/>
    <w:basedOn w:val="TableNormal"/>
    <w:next w:val="TableGrid"/>
    <w:uiPriority w:val="39"/>
    <w:rsid w:val="00EA39EE"/>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1">
    <w:name w:val="Unresolved Mention41"/>
    <w:uiPriority w:val="52"/>
    <w:rsid w:val="00012E81"/>
    <w:rPr>
      <w:color w:val="605E5C"/>
      <w:shd w:val="clear" w:color="auto" w:fill="E1DFDD"/>
    </w:rPr>
  </w:style>
  <w:style w:type="table" w:styleId="LightShading">
    <w:name w:val="Light Shading"/>
    <w:basedOn w:val="TableNormal"/>
    <w:uiPriority w:val="60"/>
    <w:unhideWhenUsed/>
    <w:rsid w:val="000B086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
    <w:name w:val="Body Text"/>
    <w:basedOn w:val="Normal"/>
    <w:link w:val="BodyTextChar"/>
    <w:uiPriority w:val="99"/>
    <w:semiHidden/>
    <w:unhideWhenUsed/>
    <w:rsid w:val="006F3798"/>
  </w:style>
  <w:style w:type="character" w:customStyle="1" w:styleId="BodyTextChar">
    <w:name w:val="Body Text Char"/>
    <w:link w:val="BodyText"/>
    <w:uiPriority w:val="99"/>
    <w:semiHidden/>
    <w:rsid w:val="006F3798"/>
    <w:rPr>
      <w:sz w:val="22"/>
      <w:szCs w:val="22"/>
    </w:rPr>
  </w:style>
  <w:style w:type="table" w:customStyle="1" w:styleId="TableGrid13">
    <w:name w:val="Table Grid13"/>
    <w:basedOn w:val="TableNormal"/>
    <w:next w:val="TableGrid"/>
    <w:uiPriority w:val="39"/>
    <w:rsid w:val="00FD048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2A51DD"/>
  </w:style>
  <w:style w:type="paragraph" w:styleId="ListParagraph">
    <w:name w:val="List Paragraph"/>
    <w:basedOn w:val="Normal"/>
    <w:link w:val="ListParagraphChar"/>
    <w:uiPriority w:val="34"/>
    <w:qFormat/>
    <w:rsid w:val="00E00643"/>
    <w:pPr>
      <w:ind w:left="720"/>
      <w:contextualSpacing/>
    </w:pPr>
  </w:style>
  <w:style w:type="table" w:customStyle="1" w:styleId="ListTable4-Accent31">
    <w:name w:val="List Table 4 - Accent 31"/>
    <w:basedOn w:val="TableNormal"/>
    <w:uiPriority w:val="49"/>
    <w:rsid w:val="00EB0A49"/>
    <w:rPr>
      <w:sz w:val="22"/>
      <w:szCs w:val="22"/>
      <w:lang w:bidi="fa-I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1">
    <w:name w:val="List Table 21"/>
    <w:basedOn w:val="TableNormal"/>
    <w:uiPriority w:val="47"/>
    <w:rsid w:val="00575864"/>
    <w:rPr>
      <w:sz w:val="22"/>
      <w:szCs w:val="22"/>
      <w:lang w:bidi="fa-IR"/>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5Dark-Accent31">
    <w:name w:val="List Table 5 Dark - Accent 31"/>
    <w:basedOn w:val="TableNormal"/>
    <w:uiPriority w:val="50"/>
    <w:rsid w:val="00D32070"/>
    <w:pPr>
      <w:jc w:val="center"/>
    </w:pPr>
    <w:rPr>
      <w:color w:val="FFFFFF"/>
      <w:sz w:val="22"/>
      <w:szCs w:val="22"/>
    </w:rPr>
    <w:tblPr>
      <w:tblStyleRowBandSize w:val="1"/>
      <w:tblStyleColBandSize w:val="1"/>
    </w:tblPr>
    <w:tcPr>
      <w:shd w:val="clear" w:color="auto" w:fill="A5A5A5"/>
      <w:vAlign w:val="center"/>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BodyB">
    <w:name w:val="Body B"/>
    <w:rsid w:val="00442165"/>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customStyle="1" w:styleId="None">
    <w:name w:val="None"/>
    <w:rsid w:val="00442165"/>
  </w:style>
  <w:style w:type="character" w:customStyle="1" w:styleId="jlqj4b">
    <w:name w:val="jlqj4b"/>
    <w:basedOn w:val="DefaultParagraphFont"/>
    <w:rsid w:val="001B22B0"/>
  </w:style>
  <w:style w:type="character" w:customStyle="1" w:styleId="viiyi">
    <w:name w:val="viiyi"/>
    <w:basedOn w:val="DefaultParagraphFont"/>
    <w:rsid w:val="00A4785B"/>
  </w:style>
  <w:style w:type="paragraph" w:styleId="NoSpacing">
    <w:name w:val="No Spacing"/>
    <w:uiPriority w:val="1"/>
    <w:qFormat/>
    <w:rsid w:val="00520E9F"/>
    <w:pPr>
      <w:spacing w:after="0" w:line="240" w:lineRule="auto"/>
    </w:pPr>
  </w:style>
  <w:style w:type="paragraph" w:styleId="Quote">
    <w:name w:val="Quote"/>
    <w:basedOn w:val="Normal"/>
    <w:next w:val="Normal"/>
    <w:link w:val="QuoteChar"/>
    <w:uiPriority w:val="29"/>
    <w:qFormat/>
    <w:rsid w:val="00520E9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20E9F"/>
    <w:rPr>
      <w:i/>
      <w:iCs/>
      <w:color w:val="404040" w:themeColor="text1" w:themeTint="BF"/>
    </w:rPr>
  </w:style>
  <w:style w:type="paragraph" w:styleId="IntenseQuote">
    <w:name w:val="Intense Quote"/>
    <w:basedOn w:val="Normal"/>
    <w:next w:val="Normal"/>
    <w:link w:val="IntenseQuoteChar"/>
    <w:uiPriority w:val="30"/>
    <w:qFormat/>
    <w:rsid w:val="00520E9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520E9F"/>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520E9F"/>
    <w:rPr>
      <w:i/>
      <w:iCs/>
      <w:color w:val="404040" w:themeColor="text1" w:themeTint="BF"/>
    </w:rPr>
  </w:style>
  <w:style w:type="character" w:styleId="IntenseEmphasis">
    <w:name w:val="Intense Emphasis"/>
    <w:basedOn w:val="DefaultParagraphFont"/>
    <w:uiPriority w:val="21"/>
    <w:qFormat/>
    <w:rsid w:val="00520E9F"/>
    <w:rPr>
      <w:b/>
      <w:bCs/>
      <w:i/>
      <w:iCs/>
    </w:rPr>
  </w:style>
  <w:style w:type="character" w:styleId="SubtleReference">
    <w:name w:val="Subtle Reference"/>
    <w:basedOn w:val="DefaultParagraphFont"/>
    <w:uiPriority w:val="31"/>
    <w:qFormat/>
    <w:rsid w:val="00520E9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20E9F"/>
    <w:rPr>
      <w:b/>
      <w:bCs/>
      <w:smallCaps/>
      <w:spacing w:val="5"/>
      <w:u w:val="single"/>
    </w:rPr>
  </w:style>
  <w:style w:type="character" w:styleId="BookTitle">
    <w:name w:val="Book Title"/>
    <w:basedOn w:val="DefaultParagraphFont"/>
    <w:uiPriority w:val="33"/>
    <w:qFormat/>
    <w:rsid w:val="00520E9F"/>
    <w:rPr>
      <w:b/>
      <w:bCs/>
      <w:smallCaps/>
    </w:rPr>
  </w:style>
  <w:style w:type="paragraph" w:styleId="TOCHeading">
    <w:name w:val="TOC Heading"/>
    <w:basedOn w:val="Heading1"/>
    <w:next w:val="Normal"/>
    <w:uiPriority w:val="39"/>
    <w:unhideWhenUsed/>
    <w:qFormat/>
    <w:rsid w:val="00520E9F"/>
    <w:pPr>
      <w:outlineLvl w:val="9"/>
    </w:pPr>
  </w:style>
  <w:style w:type="character" w:customStyle="1" w:styleId="ListParagraphChar">
    <w:name w:val="List Paragraph Char"/>
    <w:link w:val="ListParagraph"/>
    <w:uiPriority w:val="34"/>
    <w:rsid w:val="000D397A"/>
  </w:style>
  <w:style w:type="paragraph" w:customStyle="1" w:styleId="a0">
    <w:name w:val="منابع"/>
    <w:basedOn w:val="Normal"/>
    <w:link w:val="Char0"/>
    <w:uiPriority w:val="9"/>
    <w:rsid w:val="00855AB3"/>
    <w:pPr>
      <w:spacing w:after="0" w:line="240" w:lineRule="auto"/>
    </w:pPr>
    <w:rPr>
      <w:rFonts w:ascii="Times New Roman" w:eastAsiaTheme="minorHAnsi" w:hAnsi="Times New Roman" w:cs="B Nazanin"/>
      <w:color w:val="000000" w:themeColor="text1"/>
    </w:rPr>
  </w:style>
  <w:style w:type="character" w:customStyle="1" w:styleId="Char0">
    <w:name w:val="منابع Char"/>
    <w:basedOn w:val="DefaultParagraphFont"/>
    <w:link w:val="a0"/>
    <w:uiPriority w:val="9"/>
    <w:rsid w:val="00855AB3"/>
    <w:rPr>
      <w:rFonts w:ascii="Times New Roman" w:eastAsiaTheme="minorHAnsi" w:hAnsi="Times New Roman" w:cs="B Nazanin"/>
      <w:color w:val="000000" w:themeColor="text1"/>
    </w:rPr>
  </w:style>
  <w:style w:type="character" w:customStyle="1" w:styleId="markedcontent">
    <w:name w:val="markedcontent"/>
    <w:basedOn w:val="DefaultParagraphFont"/>
    <w:rsid w:val="00855AB3"/>
  </w:style>
  <w:style w:type="character" w:customStyle="1" w:styleId="UnresolvedMention6">
    <w:name w:val="Unresolved Mention6"/>
    <w:basedOn w:val="DefaultParagraphFont"/>
    <w:uiPriority w:val="99"/>
    <w:semiHidden/>
    <w:unhideWhenUsed/>
    <w:rsid w:val="00F85748"/>
    <w:rPr>
      <w:color w:val="605E5C"/>
      <w:shd w:val="clear" w:color="auto" w:fill="E1DFDD"/>
    </w:rPr>
  </w:style>
  <w:style w:type="table" w:styleId="ListTable6Colorful">
    <w:name w:val="List Table 6 Colorful"/>
    <w:basedOn w:val="TableNormal"/>
    <w:uiPriority w:val="51"/>
    <w:rsid w:val="00F85748"/>
    <w:pPr>
      <w:spacing w:after="0" w:line="240" w:lineRule="auto"/>
    </w:pPr>
    <w:rPr>
      <w:rFonts w:eastAsiaTheme="minorHAns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
    <w:name w:val="جدول عادي 21"/>
    <w:basedOn w:val="TableNormal"/>
    <w:uiPriority w:val="42"/>
    <w:rsid w:val="000B7461"/>
    <w:pPr>
      <w:spacing w:after="0" w:line="240" w:lineRule="auto"/>
    </w:pPr>
    <w:rPr>
      <w:rFonts w:eastAsiaTheme="minorHAnsi"/>
      <w:sz w:val="22"/>
      <w:szCs w:val="22"/>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078BD"/>
    <w:pPr>
      <w:spacing w:after="0" w:line="240" w:lineRule="auto"/>
    </w:pPr>
    <w:rPr>
      <w:rFonts w:ascii="Times New Roman" w:eastAsia="Times New Roman" w:hAnsi="Times New Roman"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ls-body-text">
    <w:name w:val="Els-body-text"/>
    <w:rsid w:val="002F56EF"/>
    <w:pPr>
      <w:keepNext/>
      <w:spacing w:after="0" w:line="240" w:lineRule="exact"/>
      <w:ind w:firstLine="238"/>
      <w:jc w:val="both"/>
    </w:pPr>
    <w:rPr>
      <w:rFonts w:ascii="Times New Roman" w:eastAsia="Times New Roman" w:hAnsi="Times New Roman" w:cs="Times New Roman"/>
    </w:rPr>
  </w:style>
  <w:style w:type="paragraph" w:customStyle="1" w:styleId="Tabletitle">
    <w:name w:val="Table title"/>
    <w:basedOn w:val="Normal"/>
    <w:next w:val="Normal"/>
    <w:qFormat/>
    <w:rsid w:val="00F94724"/>
    <w:pPr>
      <w:spacing w:before="240" w:after="0" w:line="36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F94724"/>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rsid w:val="000E2FF6"/>
    <w:pPr>
      <w:spacing w:before="240" w:after="0" w:line="360" w:lineRule="auto"/>
    </w:pPr>
    <w:rPr>
      <w:rFonts w:ascii="Times New Roman" w:eastAsia="Times New Roman" w:hAnsi="Times New Roman" w:cs="Times New Roman"/>
      <w:sz w:val="24"/>
      <w:szCs w:val="24"/>
      <w:lang w:val="en-GB" w:eastAsia="en-GB"/>
    </w:rPr>
  </w:style>
  <w:style w:type="table" w:styleId="PlainTable4">
    <w:name w:val="Plain Table 4"/>
    <w:basedOn w:val="TableNormal"/>
    <w:uiPriority w:val="44"/>
    <w:rsid w:val="0047316F"/>
    <w:pPr>
      <w:spacing w:after="0" w:line="240" w:lineRule="auto"/>
      <w:ind w:firstLine="284"/>
      <w:jc w:val="both"/>
    </w:pPr>
    <w:rPr>
      <w:rFonts w:eastAsia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ynqvb">
    <w:name w:val="rynqvb"/>
    <w:basedOn w:val="DefaultParagraphFont"/>
    <w:rsid w:val="00D25AE4"/>
  </w:style>
  <w:style w:type="table" w:styleId="LightList">
    <w:name w:val="Light List"/>
    <w:basedOn w:val="TableNormal"/>
    <w:uiPriority w:val="61"/>
    <w:rsid w:val="00D25AE4"/>
    <w:pPr>
      <w:spacing w:after="0" w:line="240" w:lineRule="auto"/>
    </w:pPr>
    <w:rPr>
      <w:rFonts w:eastAsiaTheme="minorHAnsi"/>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jzur5c">
    <w:name w:val="jzur5c"/>
    <w:basedOn w:val="DefaultParagraphFont"/>
    <w:rsid w:val="004E28E1"/>
  </w:style>
  <w:style w:type="table" w:customStyle="1" w:styleId="PlainTable213">
    <w:name w:val="Plain Table 213"/>
    <w:basedOn w:val="TableNormal"/>
    <w:uiPriority w:val="42"/>
    <w:rsid w:val="007F5B7B"/>
    <w:pPr>
      <w:spacing w:after="0" w:line="240" w:lineRule="auto"/>
    </w:pPr>
    <w:rPr>
      <w:rFonts w:eastAsia="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LightGrid-Accent3">
    <w:name w:val="Light Grid Accent 3"/>
    <w:basedOn w:val="TableNormal"/>
    <w:uiPriority w:val="62"/>
    <w:rsid w:val="00DC347A"/>
    <w:pPr>
      <w:spacing w:after="0" w:line="240" w:lineRule="auto"/>
    </w:pPr>
    <w:rPr>
      <w:rFonts w:eastAsia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A7">
    <w:name w:val="A7"/>
    <w:uiPriority w:val="99"/>
    <w:rsid w:val="00791015"/>
    <w:rPr>
      <w:color w:val="000000"/>
      <w:sz w:val="16"/>
      <w:szCs w:val="16"/>
    </w:rPr>
  </w:style>
  <w:style w:type="character" w:styleId="UnresolvedMention">
    <w:name w:val="Unresolved Mention"/>
    <w:basedOn w:val="DefaultParagraphFont"/>
    <w:uiPriority w:val="99"/>
    <w:semiHidden/>
    <w:unhideWhenUsed/>
    <w:rsid w:val="00BD7E46"/>
    <w:rPr>
      <w:color w:val="605E5C"/>
      <w:shd w:val="clear" w:color="auto" w:fill="E1DFDD"/>
    </w:rPr>
  </w:style>
  <w:style w:type="character" w:customStyle="1" w:styleId="font41">
    <w:name w:val="font41"/>
    <w:basedOn w:val="DefaultParagraphFont"/>
    <w:qFormat/>
    <w:rsid w:val="00293824"/>
    <w:rPr>
      <w:rFonts w:ascii="Times New Roman" w:hAnsi="Times New Roman" w:cs="Times New Roman" w:hint="default"/>
      <w:color w:val="222222"/>
      <w:sz w:val="20"/>
      <w:szCs w:val="20"/>
      <w:u w:val="none"/>
    </w:rPr>
  </w:style>
  <w:style w:type="character" w:customStyle="1" w:styleId="font21">
    <w:name w:val="font21"/>
    <w:basedOn w:val="DefaultParagraphFont"/>
    <w:qFormat/>
    <w:rsid w:val="00293824"/>
    <w:rPr>
      <w:rFonts w:ascii="Times New Roman" w:hAnsi="Times New Roman" w:cs="Times New Roman" w:hint="default"/>
      <w:color w:val="000000"/>
      <w:sz w:val="22"/>
      <w:szCs w:val="22"/>
      <w:u w:val="none"/>
    </w:rPr>
  </w:style>
  <w:style w:type="character" w:customStyle="1" w:styleId="font51">
    <w:name w:val="font51"/>
    <w:basedOn w:val="DefaultParagraphFont"/>
    <w:qFormat/>
    <w:rsid w:val="00293824"/>
    <w:rPr>
      <w:rFonts w:ascii="Verdana" w:hAnsi="Verdana" w:cs="Verdan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9771">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91172045">
      <w:bodyDiv w:val="1"/>
      <w:marLeft w:val="0"/>
      <w:marRight w:val="0"/>
      <w:marTop w:val="0"/>
      <w:marBottom w:val="0"/>
      <w:divBdr>
        <w:top w:val="none" w:sz="0" w:space="0" w:color="auto"/>
        <w:left w:val="none" w:sz="0" w:space="0" w:color="auto"/>
        <w:bottom w:val="none" w:sz="0" w:space="0" w:color="auto"/>
        <w:right w:val="none" w:sz="0" w:space="0" w:color="auto"/>
      </w:divBdr>
    </w:div>
    <w:div w:id="139347195">
      <w:bodyDiv w:val="1"/>
      <w:marLeft w:val="0"/>
      <w:marRight w:val="0"/>
      <w:marTop w:val="0"/>
      <w:marBottom w:val="0"/>
      <w:divBdr>
        <w:top w:val="none" w:sz="0" w:space="0" w:color="auto"/>
        <w:left w:val="none" w:sz="0" w:space="0" w:color="auto"/>
        <w:bottom w:val="none" w:sz="0" w:space="0" w:color="auto"/>
        <w:right w:val="none" w:sz="0" w:space="0" w:color="auto"/>
      </w:divBdr>
    </w:div>
    <w:div w:id="157700158">
      <w:bodyDiv w:val="1"/>
      <w:marLeft w:val="0"/>
      <w:marRight w:val="0"/>
      <w:marTop w:val="0"/>
      <w:marBottom w:val="0"/>
      <w:divBdr>
        <w:top w:val="none" w:sz="0" w:space="0" w:color="auto"/>
        <w:left w:val="none" w:sz="0" w:space="0" w:color="auto"/>
        <w:bottom w:val="none" w:sz="0" w:space="0" w:color="auto"/>
        <w:right w:val="none" w:sz="0" w:space="0" w:color="auto"/>
      </w:divBdr>
    </w:div>
    <w:div w:id="209461803">
      <w:bodyDiv w:val="1"/>
      <w:marLeft w:val="0"/>
      <w:marRight w:val="0"/>
      <w:marTop w:val="0"/>
      <w:marBottom w:val="0"/>
      <w:divBdr>
        <w:top w:val="none" w:sz="0" w:space="0" w:color="auto"/>
        <w:left w:val="none" w:sz="0" w:space="0" w:color="auto"/>
        <w:bottom w:val="none" w:sz="0" w:space="0" w:color="auto"/>
        <w:right w:val="none" w:sz="0" w:space="0" w:color="auto"/>
      </w:divBdr>
      <w:divsChild>
        <w:div w:id="170024867">
          <w:marLeft w:val="0"/>
          <w:marRight w:val="0"/>
          <w:marTop w:val="0"/>
          <w:marBottom w:val="0"/>
          <w:divBdr>
            <w:top w:val="none" w:sz="0" w:space="0" w:color="auto"/>
            <w:left w:val="none" w:sz="0" w:space="0" w:color="auto"/>
            <w:bottom w:val="none" w:sz="0" w:space="0" w:color="auto"/>
            <w:right w:val="none" w:sz="0" w:space="0" w:color="auto"/>
          </w:divBdr>
        </w:div>
        <w:div w:id="185798259">
          <w:marLeft w:val="0"/>
          <w:marRight w:val="0"/>
          <w:marTop w:val="0"/>
          <w:marBottom w:val="0"/>
          <w:divBdr>
            <w:top w:val="none" w:sz="0" w:space="0" w:color="auto"/>
            <w:left w:val="none" w:sz="0" w:space="0" w:color="auto"/>
            <w:bottom w:val="none" w:sz="0" w:space="0" w:color="auto"/>
            <w:right w:val="none" w:sz="0" w:space="0" w:color="auto"/>
          </w:divBdr>
        </w:div>
        <w:div w:id="1005867624">
          <w:marLeft w:val="0"/>
          <w:marRight w:val="0"/>
          <w:marTop w:val="0"/>
          <w:marBottom w:val="0"/>
          <w:divBdr>
            <w:top w:val="none" w:sz="0" w:space="0" w:color="auto"/>
            <w:left w:val="none" w:sz="0" w:space="0" w:color="auto"/>
            <w:bottom w:val="none" w:sz="0" w:space="0" w:color="auto"/>
            <w:right w:val="none" w:sz="0" w:space="0" w:color="auto"/>
          </w:divBdr>
        </w:div>
        <w:div w:id="1396660632">
          <w:marLeft w:val="0"/>
          <w:marRight w:val="0"/>
          <w:marTop w:val="0"/>
          <w:marBottom w:val="0"/>
          <w:divBdr>
            <w:top w:val="none" w:sz="0" w:space="0" w:color="auto"/>
            <w:left w:val="none" w:sz="0" w:space="0" w:color="auto"/>
            <w:bottom w:val="none" w:sz="0" w:space="0" w:color="auto"/>
            <w:right w:val="none" w:sz="0" w:space="0" w:color="auto"/>
          </w:divBdr>
        </w:div>
        <w:div w:id="1750542205">
          <w:marLeft w:val="0"/>
          <w:marRight w:val="0"/>
          <w:marTop w:val="0"/>
          <w:marBottom w:val="0"/>
          <w:divBdr>
            <w:top w:val="none" w:sz="0" w:space="0" w:color="auto"/>
            <w:left w:val="none" w:sz="0" w:space="0" w:color="auto"/>
            <w:bottom w:val="none" w:sz="0" w:space="0" w:color="auto"/>
            <w:right w:val="none" w:sz="0" w:space="0" w:color="auto"/>
          </w:divBdr>
        </w:div>
        <w:div w:id="1908106170">
          <w:marLeft w:val="0"/>
          <w:marRight w:val="0"/>
          <w:marTop w:val="0"/>
          <w:marBottom w:val="0"/>
          <w:divBdr>
            <w:top w:val="none" w:sz="0" w:space="0" w:color="auto"/>
            <w:left w:val="none" w:sz="0" w:space="0" w:color="auto"/>
            <w:bottom w:val="none" w:sz="0" w:space="0" w:color="auto"/>
            <w:right w:val="none" w:sz="0" w:space="0" w:color="auto"/>
          </w:divBdr>
        </w:div>
        <w:div w:id="2017225928">
          <w:marLeft w:val="0"/>
          <w:marRight w:val="0"/>
          <w:marTop w:val="0"/>
          <w:marBottom w:val="0"/>
          <w:divBdr>
            <w:top w:val="none" w:sz="0" w:space="0" w:color="auto"/>
            <w:left w:val="none" w:sz="0" w:space="0" w:color="auto"/>
            <w:bottom w:val="none" w:sz="0" w:space="0" w:color="auto"/>
            <w:right w:val="none" w:sz="0" w:space="0" w:color="auto"/>
          </w:divBdr>
        </w:div>
      </w:divsChild>
    </w:div>
    <w:div w:id="277875492">
      <w:bodyDiv w:val="1"/>
      <w:marLeft w:val="0"/>
      <w:marRight w:val="0"/>
      <w:marTop w:val="0"/>
      <w:marBottom w:val="0"/>
      <w:divBdr>
        <w:top w:val="none" w:sz="0" w:space="0" w:color="auto"/>
        <w:left w:val="none" w:sz="0" w:space="0" w:color="auto"/>
        <w:bottom w:val="none" w:sz="0" w:space="0" w:color="auto"/>
        <w:right w:val="none" w:sz="0" w:space="0" w:color="auto"/>
      </w:divBdr>
    </w:div>
    <w:div w:id="290595079">
      <w:bodyDiv w:val="1"/>
      <w:marLeft w:val="0"/>
      <w:marRight w:val="0"/>
      <w:marTop w:val="0"/>
      <w:marBottom w:val="0"/>
      <w:divBdr>
        <w:top w:val="none" w:sz="0" w:space="0" w:color="auto"/>
        <w:left w:val="none" w:sz="0" w:space="0" w:color="auto"/>
        <w:bottom w:val="none" w:sz="0" w:space="0" w:color="auto"/>
        <w:right w:val="none" w:sz="0" w:space="0" w:color="auto"/>
      </w:divBdr>
    </w:div>
    <w:div w:id="339937724">
      <w:bodyDiv w:val="1"/>
      <w:marLeft w:val="0"/>
      <w:marRight w:val="0"/>
      <w:marTop w:val="0"/>
      <w:marBottom w:val="0"/>
      <w:divBdr>
        <w:top w:val="none" w:sz="0" w:space="0" w:color="auto"/>
        <w:left w:val="none" w:sz="0" w:space="0" w:color="auto"/>
        <w:bottom w:val="none" w:sz="0" w:space="0" w:color="auto"/>
        <w:right w:val="none" w:sz="0" w:space="0" w:color="auto"/>
      </w:divBdr>
    </w:div>
    <w:div w:id="399062951">
      <w:bodyDiv w:val="1"/>
      <w:marLeft w:val="0"/>
      <w:marRight w:val="0"/>
      <w:marTop w:val="0"/>
      <w:marBottom w:val="0"/>
      <w:divBdr>
        <w:top w:val="none" w:sz="0" w:space="0" w:color="auto"/>
        <w:left w:val="none" w:sz="0" w:space="0" w:color="auto"/>
        <w:bottom w:val="none" w:sz="0" w:space="0" w:color="auto"/>
        <w:right w:val="none" w:sz="0" w:space="0" w:color="auto"/>
      </w:divBdr>
    </w:div>
    <w:div w:id="462622694">
      <w:bodyDiv w:val="1"/>
      <w:marLeft w:val="0"/>
      <w:marRight w:val="0"/>
      <w:marTop w:val="0"/>
      <w:marBottom w:val="0"/>
      <w:divBdr>
        <w:top w:val="none" w:sz="0" w:space="0" w:color="auto"/>
        <w:left w:val="none" w:sz="0" w:space="0" w:color="auto"/>
        <w:bottom w:val="none" w:sz="0" w:space="0" w:color="auto"/>
        <w:right w:val="none" w:sz="0" w:space="0" w:color="auto"/>
      </w:divBdr>
    </w:div>
    <w:div w:id="487864365">
      <w:bodyDiv w:val="1"/>
      <w:marLeft w:val="0"/>
      <w:marRight w:val="0"/>
      <w:marTop w:val="0"/>
      <w:marBottom w:val="0"/>
      <w:divBdr>
        <w:top w:val="none" w:sz="0" w:space="0" w:color="auto"/>
        <w:left w:val="none" w:sz="0" w:space="0" w:color="auto"/>
        <w:bottom w:val="none" w:sz="0" w:space="0" w:color="auto"/>
        <w:right w:val="none" w:sz="0" w:space="0" w:color="auto"/>
      </w:divBdr>
    </w:div>
    <w:div w:id="510263611">
      <w:bodyDiv w:val="1"/>
      <w:marLeft w:val="0"/>
      <w:marRight w:val="0"/>
      <w:marTop w:val="0"/>
      <w:marBottom w:val="0"/>
      <w:divBdr>
        <w:top w:val="none" w:sz="0" w:space="0" w:color="auto"/>
        <w:left w:val="none" w:sz="0" w:space="0" w:color="auto"/>
        <w:bottom w:val="none" w:sz="0" w:space="0" w:color="auto"/>
        <w:right w:val="none" w:sz="0" w:space="0" w:color="auto"/>
      </w:divBdr>
    </w:div>
    <w:div w:id="538515234">
      <w:bodyDiv w:val="1"/>
      <w:marLeft w:val="0"/>
      <w:marRight w:val="0"/>
      <w:marTop w:val="0"/>
      <w:marBottom w:val="0"/>
      <w:divBdr>
        <w:top w:val="none" w:sz="0" w:space="0" w:color="auto"/>
        <w:left w:val="none" w:sz="0" w:space="0" w:color="auto"/>
        <w:bottom w:val="none" w:sz="0" w:space="0" w:color="auto"/>
        <w:right w:val="none" w:sz="0" w:space="0" w:color="auto"/>
      </w:divBdr>
    </w:div>
    <w:div w:id="544411713">
      <w:bodyDiv w:val="1"/>
      <w:marLeft w:val="0"/>
      <w:marRight w:val="0"/>
      <w:marTop w:val="0"/>
      <w:marBottom w:val="0"/>
      <w:divBdr>
        <w:top w:val="none" w:sz="0" w:space="0" w:color="auto"/>
        <w:left w:val="none" w:sz="0" w:space="0" w:color="auto"/>
        <w:bottom w:val="none" w:sz="0" w:space="0" w:color="auto"/>
        <w:right w:val="none" w:sz="0" w:space="0" w:color="auto"/>
      </w:divBdr>
    </w:div>
    <w:div w:id="618610354">
      <w:bodyDiv w:val="1"/>
      <w:marLeft w:val="0"/>
      <w:marRight w:val="0"/>
      <w:marTop w:val="0"/>
      <w:marBottom w:val="0"/>
      <w:divBdr>
        <w:top w:val="none" w:sz="0" w:space="0" w:color="auto"/>
        <w:left w:val="none" w:sz="0" w:space="0" w:color="auto"/>
        <w:bottom w:val="none" w:sz="0" w:space="0" w:color="auto"/>
        <w:right w:val="none" w:sz="0" w:space="0" w:color="auto"/>
      </w:divBdr>
    </w:div>
    <w:div w:id="816535024">
      <w:bodyDiv w:val="1"/>
      <w:marLeft w:val="0"/>
      <w:marRight w:val="0"/>
      <w:marTop w:val="0"/>
      <w:marBottom w:val="0"/>
      <w:divBdr>
        <w:top w:val="none" w:sz="0" w:space="0" w:color="auto"/>
        <w:left w:val="none" w:sz="0" w:space="0" w:color="auto"/>
        <w:bottom w:val="none" w:sz="0" w:space="0" w:color="auto"/>
        <w:right w:val="none" w:sz="0" w:space="0" w:color="auto"/>
      </w:divBdr>
      <w:divsChild>
        <w:div w:id="268701990">
          <w:marLeft w:val="0"/>
          <w:marRight w:val="0"/>
          <w:marTop w:val="0"/>
          <w:marBottom w:val="0"/>
          <w:divBdr>
            <w:top w:val="none" w:sz="0" w:space="0" w:color="auto"/>
            <w:left w:val="none" w:sz="0" w:space="0" w:color="auto"/>
            <w:bottom w:val="none" w:sz="0" w:space="0" w:color="auto"/>
            <w:right w:val="none" w:sz="0" w:space="0" w:color="auto"/>
          </w:divBdr>
        </w:div>
        <w:div w:id="305815495">
          <w:marLeft w:val="0"/>
          <w:marRight w:val="0"/>
          <w:marTop w:val="0"/>
          <w:marBottom w:val="0"/>
          <w:divBdr>
            <w:top w:val="none" w:sz="0" w:space="0" w:color="auto"/>
            <w:left w:val="none" w:sz="0" w:space="0" w:color="auto"/>
            <w:bottom w:val="none" w:sz="0" w:space="0" w:color="auto"/>
            <w:right w:val="none" w:sz="0" w:space="0" w:color="auto"/>
          </w:divBdr>
        </w:div>
        <w:div w:id="334461970">
          <w:marLeft w:val="0"/>
          <w:marRight w:val="0"/>
          <w:marTop w:val="0"/>
          <w:marBottom w:val="0"/>
          <w:divBdr>
            <w:top w:val="none" w:sz="0" w:space="0" w:color="auto"/>
            <w:left w:val="none" w:sz="0" w:space="0" w:color="auto"/>
            <w:bottom w:val="none" w:sz="0" w:space="0" w:color="auto"/>
            <w:right w:val="none" w:sz="0" w:space="0" w:color="auto"/>
          </w:divBdr>
        </w:div>
        <w:div w:id="373896337">
          <w:marLeft w:val="0"/>
          <w:marRight w:val="0"/>
          <w:marTop w:val="0"/>
          <w:marBottom w:val="0"/>
          <w:divBdr>
            <w:top w:val="none" w:sz="0" w:space="0" w:color="auto"/>
            <w:left w:val="none" w:sz="0" w:space="0" w:color="auto"/>
            <w:bottom w:val="none" w:sz="0" w:space="0" w:color="auto"/>
            <w:right w:val="none" w:sz="0" w:space="0" w:color="auto"/>
          </w:divBdr>
        </w:div>
        <w:div w:id="790123858">
          <w:marLeft w:val="0"/>
          <w:marRight w:val="0"/>
          <w:marTop w:val="0"/>
          <w:marBottom w:val="0"/>
          <w:divBdr>
            <w:top w:val="none" w:sz="0" w:space="0" w:color="auto"/>
            <w:left w:val="none" w:sz="0" w:space="0" w:color="auto"/>
            <w:bottom w:val="none" w:sz="0" w:space="0" w:color="auto"/>
            <w:right w:val="none" w:sz="0" w:space="0" w:color="auto"/>
          </w:divBdr>
        </w:div>
        <w:div w:id="1473477077">
          <w:marLeft w:val="0"/>
          <w:marRight w:val="0"/>
          <w:marTop w:val="0"/>
          <w:marBottom w:val="0"/>
          <w:divBdr>
            <w:top w:val="none" w:sz="0" w:space="0" w:color="auto"/>
            <w:left w:val="none" w:sz="0" w:space="0" w:color="auto"/>
            <w:bottom w:val="none" w:sz="0" w:space="0" w:color="auto"/>
            <w:right w:val="none" w:sz="0" w:space="0" w:color="auto"/>
          </w:divBdr>
        </w:div>
        <w:div w:id="1514028403">
          <w:marLeft w:val="0"/>
          <w:marRight w:val="0"/>
          <w:marTop w:val="0"/>
          <w:marBottom w:val="0"/>
          <w:divBdr>
            <w:top w:val="none" w:sz="0" w:space="0" w:color="auto"/>
            <w:left w:val="none" w:sz="0" w:space="0" w:color="auto"/>
            <w:bottom w:val="none" w:sz="0" w:space="0" w:color="auto"/>
            <w:right w:val="none" w:sz="0" w:space="0" w:color="auto"/>
          </w:divBdr>
        </w:div>
        <w:div w:id="1554537939">
          <w:marLeft w:val="0"/>
          <w:marRight w:val="0"/>
          <w:marTop w:val="0"/>
          <w:marBottom w:val="0"/>
          <w:divBdr>
            <w:top w:val="none" w:sz="0" w:space="0" w:color="auto"/>
            <w:left w:val="none" w:sz="0" w:space="0" w:color="auto"/>
            <w:bottom w:val="none" w:sz="0" w:space="0" w:color="auto"/>
            <w:right w:val="none" w:sz="0" w:space="0" w:color="auto"/>
          </w:divBdr>
        </w:div>
        <w:div w:id="1721128375">
          <w:marLeft w:val="0"/>
          <w:marRight w:val="0"/>
          <w:marTop w:val="0"/>
          <w:marBottom w:val="0"/>
          <w:divBdr>
            <w:top w:val="none" w:sz="0" w:space="0" w:color="auto"/>
            <w:left w:val="none" w:sz="0" w:space="0" w:color="auto"/>
            <w:bottom w:val="none" w:sz="0" w:space="0" w:color="auto"/>
            <w:right w:val="none" w:sz="0" w:space="0" w:color="auto"/>
          </w:divBdr>
        </w:div>
        <w:div w:id="1733655896">
          <w:marLeft w:val="0"/>
          <w:marRight w:val="0"/>
          <w:marTop w:val="0"/>
          <w:marBottom w:val="0"/>
          <w:divBdr>
            <w:top w:val="none" w:sz="0" w:space="0" w:color="auto"/>
            <w:left w:val="none" w:sz="0" w:space="0" w:color="auto"/>
            <w:bottom w:val="none" w:sz="0" w:space="0" w:color="auto"/>
            <w:right w:val="none" w:sz="0" w:space="0" w:color="auto"/>
          </w:divBdr>
        </w:div>
        <w:div w:id="1977878579">
          <w:marLeft w:val="0"/>
          <w:marRight w:val="0"/>
          <w:marTop w:val="0"/>
          <w:marBottom w:val="0"/>
          <w:divBdr>
            <w:top w:val="none" w:sz="0" w:space="0" w:color="auto"/>
            <w:left w:val="none" w:sz="0" w:space="0" w:color="auto"/>
            <w:bottom w:val="none" w:sz="0" w:space="0" w:color="auto"/>
            <w:right w:val="none" w:sz="0" w:space="0" w:color="auto"/>
          </w:divBdr>
        </w:div>
        <w:div w:id="2006393192">
          <w:marLeft w:val="0"/>
          <w:marRight w:val="0"/>
          <w:marTop w:val="0"/>
          <w:marBottom w:val="0"/>
          <w:divBdr>
            <w:top w:val="none" w:sz="0" w:space="0" w:color="auto"/>
            <w:left w:val="none" w:sz="0" w:space="0" w:color="auto"/>
            <w:bottom w:val="none" w:sz="0" w:space="0" w:color="auto"/>
            <w:right w:val="none" w:sz="0" w:space="0" w:color="auto"/>
          </w:divBdr>
        </w:div>
      </w:divsChild>
    </w:div>
    <w:div w:id="821967681">
      <w:bodyDiv w:val="1"/>
      <w:marLeft w:val="0"/>
      <w:marRight w:val="0"/>
      <w:marTop w:val="0"/>
      <w:marBottom w:val="0"/>
      <w:divBdr>
        <w:top w:val="none" w:sz="0" w:space="0" w:color="auto"/>
        <w:left w:val="none" w:sz="0" w:space="0" w:color="auto"/>
        <w:bottom w:val="none" w:sz="0" w:space="0" w:color="auto"/>
        <w:right w:val="none" w:sz="0" w:space="0" w:color="auto"/>
      </w:divBdr>
    </w:div>
    <w:div w:id="859318643">
      <w:bodyDiv w:val="1"/>
      <w:marLeft w:val="0"/>
      <w:marRight w:val="0"/>
      <w:marTop w:val="0"/>
      <w:marBottom w:val="0"/>
      <w:divBdr>
        <w:top w:val="none" w:sz="0" w:space="0" w:color="auto"/>
        <w:left w:val="none" w:sz="0" w:space="0" w:color="auto"/>
        <w:bottom w:val="none" w:sz="0" w:space="0" w:color="auto"/>
        <w:right w:val="none" w:sz="0" w:space="0" w:color="auto"/>
      </w:divBdr>
      <w:divsChild>
        <w:div w:id="506409616">
          <w:marLeft w:val="0"/>
          <w:marRight w:val="0"/>
          <w:marTop w:val="0"/>
          <w:marBottom w:val="0"/>
          <w:divBdr>
            <w:top w:val="none" w:sz="0" w:space="0" w:color="auto"/>
            <w:left w:val="none" w:sz="0" w:space="0" w:color="auto"/>
            <w:bottom w:val="none" w:sz="0" w:space="0" w:color="auto"/>
            <w:right w:val="none" w:sz="0" w:space="0" w:color="auto"/>
          </w:divBdr>
        </w:div>
        <w:div w:id="1335373695">
          <w:marLeft w:val="0"/>
          <w:marRight w:val="0"/>
          <w:marTop w:val="0"/>
          <w:marBottom w:val="0"/>
          <w:divBdr>
            <w:top w:val="none" w:sz="0" w:space="0" w:color="auto"/>
            <w:left w:val="none" w:sz="0" w:space="0" w:color="auto"/>
            <w:bottom w:val="none" w:sz="0" w:space="0" w:color="auto"/>
            <w:right w:val="none" w:sz="0" w:space="0" w:color="auto"/>
          </w:divBdr>
        </w:div>
        <w:div w:id="1432583446">
          <w:marLeft w:val="0"/>
          <w:marRight w:val="0"/>
          <w:marTop w:val="0"/>
          <w:marBottom w:val="0"/>
          <w:divBdr>
            <w:top w:val="none" w:sz="0" w:space="0" w:color="auto"/>
            <w:left w:val="none" w:sz="0" w:space="0" w:color="auto"/>
            <w:bottom w:val="none" w:sz="0" w:space="0" w:color="auto"/>
            <w:right w:val="none" w:sz="0" w:space="0" w:color="auto"/>
          </w:divBdr>
        </w:div>
        <w:div w:id="1951938618">
          <w:marLeft w:val="0"/>
          <w:marRight w:val="0"/>
          <w:marTop w:val="0"/>
          <w:marBottom w:val="0"/>
          <w:divBdr>
            <w:top w:val="none" w:sz="0" w:space="0" w:color="auto"/>
            <w:left w:val="none" w:sz="0" w:space="0" w:color="auto"/>
            <w:bottom w:val="none" w:sz="0" w:space="0" w:color="auto"/>
            <w:right w:val="none" w:sz="0" w:space="0" w:color="auto"/>
          </w:divBdr>
        </w:div>
      </w:divsChild>
    </w:div>
    <w:div w:id="876085267">
      <w:bodyDiv w:val="1"/>
      <w:marLeft w:val="0"/>
      <w:marRight w:val="0"/>
      <w:marTop w:val="0"/>
      <w:marBottom w:val="0"/>
      <w:divBdr>
        <w:top w:val="none" w:sz="0" w:space="0" w:color="auto"/>
        <w:left w:val="none" w:sz="0" w:space="0" w:color="auto"/>
        <w:bottom w:val="none" w:sz="0" w:space="0" w:color="auto"/>
        <w:right w:val="none" w:sz="0" w:space="0" w:color="auto"/>
      </w:divBdr>
    </w:div>
    <w:div w:id="896404383">
      <w:bodyDiv w:val="1"/>
      <w:marLeft w:val="0"/>
      <w:marRight w:val="0"/>
      <w:marTop w:val="0"/>
      <w:marBottom w:val="0"/>
      <w:divBdr>
        <w:top w:val="none" w:sz="0" w:space="0" w:color="auto"/>
        <w:left w:val="none" w:sz="0" w:space="0" w:color="auto"/>
        <w:bottom w:val="none" w:sz="0" w:space="0" w:color="auto"/>
        <w:right w:val="none" w:sz="0" w:space="0" w:color="auto"/>
      </w:divBdr>
    </w:div>
    <w:div w:id="925766855">
      <w:bodyDiv w:val="1"/>
      <w:marLeft w:val="0"/>
      <w:marRight w:val="0"/>
      <w:marTop w:val="0"/>
      <w:marBottom w:val="0"/>
      <w:divBdr>
        <w:top w:val="none" w:sz="0" w:space="0" w:color="auto"/>
        <w:left w:val="none" w:sz="0" w:space="0" w:color="auto"/>
        <w:bottom w:val="none" w:sz="0" w:space="0" w:color="auto"/>
        <w:right w:val="none" w:sz="0" w:space="0" w:color="auto"/>
      </w:divBdr>
    </w:div>
    <w:div w:id="928806680">
      <w:bodyDiv w:val="1"/>
      <w:marLeft w:val="0"/>
      <w:marRight w:val="0"/>
      <w:marTop w:val="0"/>
      <w:marBottom w:val="0"/>
      <w:divBdr>
        <w:top w:val="none" w:sz="0" w:space="0" w:color="auto"/>
        <w:left w:val="none" w:sz="0" w:space="0" w:color="auto"/>
        <w:bottom w:val="none" w:sz="0" w:space="0" w:color="auto"/>
        <w:right w:val="none" w:sz="0" w:space="0" w:color="auto"/>
      </w:divBdr>
    </w:div>
    <w:div w:id="994380463">
      <w:bodyDiv w:val="1"/>
      <w:marLeft w:val="0"/>
      <w:marRight w:val="0"/>
      <w:marTop w:val="0"/>
      <w:marBottom w:val="0"/>
      <w:divBdr>
        <w:top w:val="none" w:sz="0" w:space="0" w:color="auto"/>
        <w:left w:val="none" w:sz="0" w:space="0" w:color="auto"/>
        <w:bottom w:val="none" w:sz="0" w:space="0" w:color="auto"/>
        <w:right w:val="none" w:sz="0" w:space="0" w:color="auto"/>
      </w:divBdr>
    </w:div>
    <w:div w:id="1004355135">
      <w:bodyDiv w:val="1"/>
      <w:marLeft w:val="0"/>
      <w:marRight w:val="0"/>
      <w:marTop w:val="0"/>
      <w:marBottom w:val="0"/>
      <w:divBdr>
        <w:top w:val="none" w:sz="0" w:space="0" w:color="auto"/>
        <w:left w:val="none" w:sz="0" w:space="0" w:color="auto"/>
        <w:bottom w:val="none" w:sz="0" w:space="0" w:color="auto"/>
        <w:right w:val="none" w:sz="0" w:space="0" w:color="auto"/>
      </w:divBdr>
    </w:div>
    <w:div w:id="1025903437">
      <w:bodyDiv w:val="1"/>
      <w:marLeft w:val="0"/>
      <w:marRight w:val="0"/>
      <w:marTop w:val="0"/>
      <w:marBottom w:val="0"/>
      <w:divBdr>
        <w:top w:val="none" w:sz="0" w:space="0" w:color="auto"/>
        <w:left w:val="none" w:sz="0" w:space="0" w:color="auto"/>
        <w:bottom w:val="none" w:sz="0" w:space="0" w:color="auto"/>
        <w:right w:val="none" w:sz="0" w:space="0" w:color="auto"/>
      </w:divBdr>
    </w:div>
    <w:div w:id="1044257563">
      <w:bodyDiv w:val="1"/>
      <w:marLeft w:val="0"/>
      <w:marRight w:val="0"/>
      <w:marTop w:val="0"/>
      <w:marBottom w:val="0"/>
      <w:divBdr>
        <w:top w:val="none" w:sz="0" w:space="0" w:color="auto"/>
        <w:left w:val="none" w:sz="0" w:space="0" w:color="auto"/>
        <w:bottom w:val="none" w:sz="0" w:space="0" w:color="auto"/>
        <w:right w:val="none" w:sz="0" w:space="0" w:color="auto"/>
      </w:divBdr>
    </w:div>
    <w:div w:id="1072045572">
      <w:bodyDiv w:val="1"/>
      <w:marLeft w:val="0"/>
      <w:marRight w:val="0"/>
      <w:marTop w:val="0"/>
      <w:marBottom w:val="0"/>
      <w:divBdr>
        <w:top w:val="none" w:sz="0" w:space="0" w:color="auto"/>
        <w:left w:val="none" w:sz="0" w:space="0" w:color="auto"/>
        <w:bottom w:val="none" w:sz="0" w:space="0" w:color="auto"/>
        <w:right w:val="none" w:sz="0" w:space="0" w:color="auto"/>
      </w:divBdr>
    </w:div>
    <w:div w:id="1082142943">
      <w:bodyDiv w:val="1"/>
      <w:marLeft w:val="0"/>
      <w:marRight w:val="0"/>
      <w:marTop w:val="0"/>
      <w:marBottom w:val="0"/>
      <w:divBdr>
        <w:top w:val="none" w:sz="0" w:space="0" w:color="auto"/>
        <w:left w:val="none" w:sz="0" w:space="0" w:color="auto"/>
        <w:bottom w:val="none" w:sz="0" w:space="0" w:color="auto"/>
        <w:right w:val="none" w:sz="0" w:space="0" w:color="auto"/>
      </w:divBdr>
    </w:div>
    <w:div w:id="1116413890">
      <w:bodyDiv w:val="1"/>
      <w:marLeft w:val="0"/>
      <w:marRight w:val="0"/>
      <w:marTop w:val="0"/>
      <w:marBottom w:val="0"/>
      <w:divBdr>
        <w:top w:val="none" w:sz="0" w:space="0" w:color="auto"/>
        <w:left w:val="none" w:sz="0" w:space="0" w:color="auto"/>
        <w:bottom w:val="none" w:sz="0" w:space="0" w:color="auto"/>
        <w:right w:val="none" w:sz="0" w:space="0" w:color="auto"/>
      </w:divBdr>
    </w:div>
    <w:div w:id="1159928395">
      <w:bodyDiv w:val="1"/>
      <w:marLeft w:val="0"/>
      <w:marRight w:val="0"/>
      <w:marTop w:val="0"/>
      <w:marBottom w:val="0"/>
      <w:divBdr>
        <w:top w:val="none" w:sz="0" w:space="0" w:color="auto"/>
        <w:left w:val="none" w:sz="0" w:space="0" w:color="auto"/>
        <w:bottom w:val="none" w:sz="0" w:space="0" w:color="auto"/>
        <w:right w:val="none" w:sz="0" w:space="0" w:color="auto"/>
      </w:divBdr>
    </w:div>
    <w:div w:id="1164710050">
      <w:bodyDiv w:val="1"/>
      <w:marLeft w:val="0"/>
      <w:marRight w:val="0"/>
      <w:marTop w:val="0"/>
      <w:marBottom w:val="0"/>
      <w:divBdr>
        <w:top w:val="none" w:sz="0" w:space="0" w:color="auto"/>
        <w:left w:val="none" w:sz="0" w:space="0" w:color="auto"/>
        <w:bottom w:val="none" w:sz="0" w:space="0" w:color="auto"/>
        <w:right w:val="none" w:sz="0" w:space="0" w:color="auto"/>
      </w:divBdr>
    </w:div>
    <w:div w:id="1191647939">
      <w:bodyDiv w:val="1"/>
      <w:marLeft w:val="0"/>
      <w:marRight w:val="0"/>
      <w:marTop w:val="0"/>
      <w:marBottom w:val="0"/>
      <w:divBdr>
        <w:top w:val="none" w:sz="0" w:space="0" w:color="auto"/>
        <w:left w:val="none" w:sz="0" w:space="0" w:color="auto"/>
        <w:bottom w:val="none" w:sz="0" w:space="0" w:color="auto"/>
        <w:right w:val="none" w:sz="0" w:space="0" w:color="auto"/>
      </w:divBdr>
    </w:div>
    <w:div w:id="1230073606">
      <w:bodyDiv w:val="1"/>
      <w:marLeft w:val="0"/>
      <w:marRight w:val="0"/>
      <w:marTop w:val="0"/>
      <w:marBottom w:val="0"/>
      <w:divBdr>
        <w:top w:val="none" w:sz="0" w:space="0" w:color="auto"/>
        <w:left w:val="none" w:sz="0" w:space="0" w:color="auto"/>
        <w:bottom w:val="none" w:sz="0" w:space="0" w:color="auto"/>
        <w:right w:val="none" w:sz="0" w:space="0" w:color="auto"/>
      </w:divBdr>
    </w:div>
    <w:div w:id="1292978547">
      <w:bodyDiv w:val="1"/>
      <w:marLeft w:val="0"/>
      <w:marRight w:val="0"/>
      <w:marTop w:val="0"/>
      <w:marBottom w:val="0"/>
      <w:divBdr>
        <w:top w:val="none" w:sz="0" w:space="0" w:color="auto"/>
        <w:left w:val="none" w:sz="0" w:space="0" w:color="auto"/>
        <w:bottom w:val="none" w:sz="0" w:space="0" w:color="auto"/>
        <w:right w:val="none" w:sz="0" w:space="0" w:color="auto"/>
      </w:divBdr>
    </w:div>
    <w:div w:id="1361392397">
      <w:bodyDiv w:val="1"/>
      <w:marLeft w:val="0"/>
      <w:marRight w:val="0"/>
      <w:marTop w:val="0"/>
      <w:marBottom w:val="0"/>
      <w:divBdr>
        <w:top w:val="none" w:sz="0" w:space="0" w:color="auto"/>
        <w:left w:val="none" w:sz="0" w:space="0" w:color="auto"/>
        <w:bottom w:val="none" w:sz="0" w:space="0" w:color="auto"/>
        <w:right w:val="none" w:sz="0" w:space="0" w:color="auto"/>
      </w:divBdr>
    </w:div>
    <w:div w:id="1371806532">
      <w:bodyDiv w:val="1"/>
      <w:marLeft w:val="0"/>
      <w:marRight w:val="0"/>
      <w:marTop w:val="0"/>
      <w:marBottom w:val="0"/>
      <w:divBdr>
        <w:top w:val="none" w:sz="0" w:space="0" w:color="auto"/>
        <w:left w:val="none" w:sz="0" w:space="0" w:color="auto"/>
        <w:bottom w:val="none" w:sz="0" w:space="0" w:color="auto"/>
        <w:right w:val="none" w:sz="0" w:space="0" w:color="auto"/>
      </w:divBdr>
    </w:div>
    <w:div w:id="1448542893">
      <w:bodyDiv w:val="1"/>
      <w:marLeft w:val="0"/>
      <w:marRight w:val="0"/>
      <w:marTop w:val="0"/>
      <w:marBottom w:val="0"/>
      <w:divBdr>
        <w:top w:val="none" w:sz="0" w:space="0" w:color="auto"/>
        <w:left w:val="none" w:sz="0" w:space="0" w:color="auto"/>
        <w:bottom w:val="none" w:sz="0" w:space="0" w:color="auto"/>
        <w:right w:val="none" w:sz="0" w:space="0" w:color="auto"/>
      </w:divBdr>
    </w:div>
    <w:div w:id="1475179656">
      <w:bodyDiv w:val="1"/>
      <w:marLeft w:val="0"/>
      <w:marRight w:val="0"/>
      <w:marTop w:val="0"/>
      <w:marBottom w:val="0"/>
      <w:divBdr>
        <w:top w:val="none" w:sz="0" w:space="0" w:color="auto"/>
        <w:left w:val="none" w:sz="0" w:space="0" w:color="auto"/>
        <w:bottom w:val="none" w:sz="0" w:space="0" w:color="auto"/>
        <w:right w:val="none" w:sz="0" w:space="0" w:color="auto"/>
      </w:divBdr>
    </w:div>
    <w:div w:id="1483958627">
      <w:bodyDiv w:val="1"/>
      <w:marLeft w:val="0"/>
      <w:marRight w:val="0"/>
      <w:marTop w:val="0"/>
      <w:marBottom w:val="0"/>
      <w:divBdr>
        <w:top w:val="none" w:sz="0" w:space="0" w:color="auto"/>
        <w:left w:val="none" w:sz="0" w:space="0" w:color="auto"/>
        <w:bottom w:val="none" w:sz="0" w:space="0" w:color="auto"/>
        <w:right w:val="none" w:sz="0" w:space="0" w:color="auto"/>
      </w:divBdr>
    </w:div>
    <w:div w:id="1487551988">
      <w:bodyDiv w:val="1"/>
      <w:marLeft w:val="0"/>
      <w:marRight w:val="0"/>
      <w:marTop w:val="0"/>
      <w:marBottom w:val="0"/>
      <w:divBdr>
        <w:top w:val="none" w:sz="0" w:space="0" w:color="auto"/>
        <w:left w:val="none" w:sz="0" w:space="0" w:color="auto"/>
        <w:bottom w:val="none" w:sz="0" w:space="0" w:color="auto"/>
        <w:right w:val="none" w:sz="0" w:space="0" w:color="auto"/>
      </w:divBdr>
    </w:div>
    <w:div w:id="1489981941">
      <w:bodyDiv w:val="1"/>
      <w:marLeft w:val="0"/>
      <w:marRight w:val="0"/>
      <w:marTop w:val="0"/>
      <w:marBottom w:val="0"/>
      <w:divBdr>
        <w:top w:val="none" w:sz="0" w:space="0" w:color="auto"/>
        <w:left w:val="none" w:sz="0" w:space="0" w:color="auto"/>
        <w:bottom w:val="none" w:sz="0" w:space="0" w:color="auto"/>
        <w:right w:val="none" w:sz="0" w:space="0" w:color="auto"/>
      </w:divBdr>
    </w:div>
    <w:div w:id="1530340866">
      <w:bodyDiv w:val="1"/>
      <w:marLeft w:val="0"/>
      <w:marRight w:val="0"/>
      <w:marTop w:val="0"/>
      <w:marBottom w:val="0"/>
      <w:divBdr>
        <w:top w:val="none" w:sz="0" w:space="0" w:color="auto"/>
        <w:left w:val="none" w:sz="0" w:space="0" w:color="auto"/>
        <w:bottom w:val="none" w:sz="0" w:space="0" w:color="auto"/>
        <w:right w:val="none" w:sz="0" w:space="0" w:color="auto"/>
      </w:divBdr>
    </w:div>
    <w:div w:id="1586842632">
      <w:bodyDiv w:val="1"/>
      <w:marLeft w:val="0"/>
      <w:marRight w:val="0"/>
      <w:marTop w:val="0"/>
      <w:marBottom w:val="0"/>
      <w:divBdr>
        <w:top w:val="none" w:sz="0" w:space="0" w:color="auto"/>
        <w:left w:val="none" w:sz="0" w:space="0" w:color="auto"/>
        <w:bottom w:val="none" w:sz="0" w:space="0" w:color="auto"/>
        <w:right w:val="none" w:sz="0" w:space="0" w:color="auto"/>
      </w:divBdr>
    </w:div>
    <w:div w:id="1590120685">
      <w:bodyDiv w:val="1"/>
      <w:marLeft w:val="0"/>
      <w:marRight w:val="0"/>
      <w:marTop w:val="0"/>
      <w:marBottom w:val="0"/>
      <w:divBdr>
        <w:top w:val="none" w:sz="0" w:space="0" w:color="auto"/>
        <w:left w:val="none" w:sz="0" w:space="0" w:color="auto"/>
        <w:bottom w:val="none" w:sz="0" w:space="0" w:color="auto"/>
        <w:right w:val="none" w:sz="0" w:space="0" w:color="auto"/>
      </w:divBdr>
    </w:div>
    <w:div w:id="1609968589">
      <w:bodyDiv w:val="1"/>
      <w:marLeft w:val="0"/>
      <w:marRight w:val="0"/>
      <w:marTop w:val="0"/>
      <w:marBottom w:val="0"/>
      <w:divBdr>
        <w:top w:val="none" w:sz="0" w:space="0" w:color="auto"/>
        <w:left w:val="none" w:sz="0" w:space="0" w:color="auto"/>
        <w:bottom w:val="none" w:sz="0" w:space="0" w:color="auto"/>
        <w:right w:val="none" w:sz="0" w:space="0" w:color="auto"/>
      </w:divBdr>
    </w:div>
    <w:div w:id="1628848955">
      <w:bodyDiv w:val="1"/>
      <w:marLeft w:val="0"/>
      <w:marRight w:val="0"/>
      <w:marTop w:val="0"/>
      <w:marBottom w:val="0"/>
      <w:divBdr>
        <w:top w:val="none" w:sz="0" w:space="0" w:color="auto"/>
        <w:left w:val="none" w:sz="0" w:space="0" w:color="auto"/>
        <w:bottom w:val="none" w:sz="0" w:space="0" w:color="auto"/>
        <w:right w:val="none" w:sz="0" w:space="0" w:color="auto"/>
      </w:divBdr>
    </w:div>
    <w:div w:id="1650937269">
      <w:bodyDiv w:val="1"/>
      <w:marLeft w:val="0"/>
      <w:marRight w:val="0"/>
      <w:marTop w:val="0"/>
      <w:marBottom w:val="0"/>
      <w:divBdr>
        <w:top w:val="none" w:sz="0" w:space="0" w:color="auto"/>
        <w:left w:val="none" w:sz="0" w:space="0" w:color="auto"/>
        <w:bottom w:val="none" w:sz="0" w:space="0" w:color="auto"/>
        <w:right w:val="none" w:sz="0" w:space="0" w:color="auto"/>
      </w:divBdr>
    </w:div>
    <w:div w:id="1654605800">
      <w:bodyDiv w:val="1"/>
      <w:marLeft w:val="0"/>
      <w:marRight w:val="0"/>
      <w:marTop w:val="0"/>
      <w:marBottom w:val="0"/>
      <w:divBdr>
        <w:top w:val="none" w:sz="0" w:space="0" w:color="auto"/>
        <w:left w:val="none" w:sz="0" w:space="0" w:color="auto"/>
        <w:bottom w:val="none" w:sz="0" w:space="0" w:color="auto"/>
        <w:right w:val="none" w:sz="0" w:space="0" w:color="auto"/>
      </w:divBdr>
    </w:div>
    <w:div w:id="1657149706">
      <w:bodyDiv w:val="1"/>
      <w:marLeft w:val="0"/>
      <w:marRight w:val="0"/>
      <w:marTop w:val="0"/>
      <w:marBottom w:val="0"/>
      <w:divBdr>
        <w:top w:val="none" w:sz="0" w:space="0" w:color="auto"/>
        <w:left w:val="none" w:sz="0" w:space="0" w:color="auto"/>
        <w:bottom w:val="none" w:sz="0" w:space="0" w:color="auto"/>
        <w:right w:val="none" w:sz="0" w:space="0" w:color="auto"/>
      </w:divBdr>
    </w:div>
    <w:div w:id="1667588803">
      <w:bodyDiv w:val="1"/>
      <w:marLeft w:val="0"/>
      <w:marRight w:val="0"/>
      <w:marTop w:val="0"/>
      <w:marBottom w:val="0"/>
      <w:divBdr>
        <w:top w:val="none" w:sz="0" w:space="0" w:color="auto"/>
        <w:left w:val="none" w:sz="0" w:space="0" w:color="auto"/>
        <w:bottom w:val="none" w:sz="0" w:space="0" w:color="auto"/>
        <w:right w:val="none" w:sz="0" w:space="0" w:color="auto"/>
      </w:divBdr>
    </w:div>
    <w:div w:id="1677734160">
      <w:bodyDiv w:val="1"/>
      <w:marLeft w:val="0"/>
      <w:marRight w:val="0"/>
      <w:marTop w:val="0"/>
      <w:marBottom w:val="0"/>
      <w:divBdr>
        <w:top w:val="none" w:sz="0" w:space="0" w:color="auto"/>
        <w:left w:val="none" w:sz="0" w:space="0" w:color="auto"/>
        <w:bottom w:val="none" w:sz="0" w:space="0" w:color="auto"/>
        <w:right w:val="none" w:sz="0" w:space="0" w:color="auto"/>
      </w:divBdr>
    </w:div>
    <w:div w:id="1684086814">
      <w:bodyDiv w:val="1"/>
      <w:marLeft w:val="0"/>
      <w:marRight w:val="0"/>
      <w:marTop w:val="0"/>
      <w:marBottom w:val="0"/>
      <w:divBdr>
        <w:top w:val="none" w:sz="0" w:space="0" w:color="auto"/>
        <w:left w:val="none" w:sz="0" w:space="0" w:color="auto"/>
        <w:bottom w:val="none" w:sz="0" w:space="0" w:color="auto"/>
        <w:right w:val="none" w:sz="0" w:space="0" w:color="auto"/>
      </w:divBdr>
    </w:div>
    <w:div w:id="1741904731">
      <w:bodyDiv w:val="1"/>
      <w:marLeft w:val="0"/>
      <w:marRight w:val="0"/>
      <w:marTop w:val="0"/>
      <w:marBottom w:val="0"/>
      <w:divBdr>
        <w:top w:val="none" w:sz="0" w:space="0" w:color="auto"/>
        <w:left w:val="none" w:sz="0" w:space="0" w:color="auto"/>
        <w:bottom w:val="none" w:sz="0" w:space="0" w:color="auto"/>
        <w:right w:val="none" w:sz="0" w:space="0" w:color="auto"/>
      </w:divBdr>
    </w:div>
    <w:div w:id="1771196915">
      <w:bodyDiv w:val="1"/>
      <w:marLeft w:val="0"/>
      <w:marRight w:val="0"/>
      <w:marTop w:val="0"/>
      <w:marBottom w:val="0"/>
      <w:divBdr>
        <w:top w:val="none" w:sz="0" w:space="0" w:color="auto"/>
        <w:left w:val="none" w:sz="0" w:space="0" w:color="auto"/>
        <w:bottom w:val="none" w:sz="0" w:space="0" w:color="auto"/>
        <w:right w:val="none" w:sz="0" w:space="0" w:color="auto"/>
      </w:divBdr>
    </w:div>
    <w:div w:id="1771970987">
      <w:bodyDiv w:val="1"/>
      <w:marLeft w:val="0"/>
      <w:marRight w:val="0"/>
      <w:marTop w:val="0"/>
      <w:marBottom w:val="0"/>
      <w:divBdr>
        <w:top w:val="none" w:sz="0" w:space="0" w:color="auto"/>
        <w:left w:val="none" w:sz="0" w:space="0" w:color="auto"/>
        <w:bottom w:val="none" w:sz="0" w:space="0" w:color="auto"/>
        <w:right w:val="none" w:sz="0" w:space="0" w:color="auto"/>
      </w:divBdr>
    </w:div>
    <w:div w:id="1780367559">
      <w:bodyDiv w:val="1"/>
      <w:marLeft w:val="0"/>
      <w:marRight w:val="0"/>
      <w:marTop w:val="0"/>
      <w:marBottom w:val="0"/>
      <w:divBdr>
        <w:top w:val="none" w:sz="0" w:space="0" w:color="auto"/>
        <w:left w:val="none" w:sz="0" w:space="0" w:color="auto"/>
        <w:bottom w:val="none" w:sz="0" w:space="0" w:color="auto"/>
        <w:right w:val="none" w:sz="0" w:space="0" w:color="auto"/>
      </w:divBdr>
    </w:div>
    <w:div w:id="1787699237">
      <w:bodyDiv w:val="1"/>
      <w:marLeft w:val="0"/>
      <w:marRight w:val="0"/>
      <w:marTop w:val="0"/>
      <w:marBottom w:val="0"/>
      <w:divBdr>
        <w:top w:val="none" w:sz="0" w:space="0" w:color="auto"/>
        <w:left w:val="none" w:sz="0" w:space="0" w:color="auto"/>
        <w:bottom w:val="none" w:sz="0" w:space="0" w:color="auto"/>
        <w:right w:val="none" w:sz="0" w:space="0" w:color="auto"/>
      </w:divBdr>
    </w:div>
    <w:div w:id="1792896823">
      <w:bodyDiv w:val="1"/>
      <w:marLeft w:val="0"/>
      <w:marRight w:val="0"/>
      <w:marTop w:val="0"/>
      <w:marBottom w:val="0"/>
      <w:divBdr>
        <w:top w:val="none" w:sz="0" w:space="0" w:color="auto"/>
        <w:left w:val="none" w:sz="0" w:space="0" w:color="auto"/>
        <w:bottom w:val="none" w:sz="0" w:space="0" w:color="auto"/>
        <w:right w:val="none" w:sz="0" w:space="0" w:color="auto"/>
      </w:divBdr>
    </w:div>
    <w:div w:id="1830753314">
      <w:bodyDiv w:val="1"/>
      <w:marLeft w:val="0"/>
      <w:marRight w:val="0"/>
      <w:marTop w:val="0"/>
      <w:marBottom w:val="0"/>
      <w:divBdr>
        <w:top w:val="none" w:sz="0" w:space="0" w:color="auto"/>
        <w:left w:val="none" w:sz="0" w:space="0" w:color="auto"/>
        <w:bottom w:val="none" w:sz="0" w:space="0" w:color="auto"/>
        <w:right w:val="none" w:sz="0" w:space="0" w:color="auto"/>
      </w:divBdr>
    </w:div>
    <w:div w:id="1860075375">
      <w:bodyDiv w:val="1"/>
      <w:marLeft w:val="0"/>
      <w:marRight w:val="0"/>
      <w:marTop w:val="0"/>
      <w:marBottom w:val="0"/>
      <w:divBdr>
        <w:top w:val="none" w:sz="0" w:space="0" w:color="auto"/>
        <w:left w:val="none" w:sz="0" w:space="0" w:color="auto"/>
        <w:bottom w:val="none" w:sz="0" w:space="0" w:color="auto"/>
        <w:right w:val="none" w:sz="0" w:space="0" w:color="auto"/>
      </w:divBdr>
    </w:div>
    <w:div w:id="1902984831">
      <w:bodyDiv w:val="1"/>
      <w:marLeft w:val="0"/>
      <w:marRight w:val="0"/>
      <w:marTop w:val="0"/>
      <w:marBottom w:val="0"/>
      <w:divBdr>
        <w:top w:val="none" w:sz="0" w:space="0" w:color="auto"/>
        <w:left w:val="none" w:sz="0" w:space="0" w:color="auto"/>
        <w:bottom w:val="none" w:sz="0" w:space="0" w:color="auto"/>
        <w:right w:val="none" w:sz="0" w:space="0" w:color="auto"/>
      </w:divBdr>
    </w:div>
    <w:div w:id="1937446374">
      <w:bodyDiv w:val="1"/>
      <w:marLeft w:val="0"/>
      <w:marRight w:val="0"/>
      <w:marTop w:val="0"/>
      <w:marBottom w:val="0"/>
      <w:divBdr>
        <w:top w:val="none" w:sz="0" w:space="0" w:color="auto"/>
        <w:left w:val="none" w:sz="0" w:space="0" w:color="auto"/>
        <w:bottom w:val="none" w:sz="0" w:space="0" w:color="auto"/>
        <w:right w:val="none" w:sz="0" w:space="0" w:color="auto"/>
      </w:divBdr>
    </w:div>
    <w:div w:id="1945140887">
      <w:bodyDiv w:val="1"/>
      <w:marLeft w:val="0"/>
      <w:marRight w:val="0"/>
      <w:marTop w:val="0"/>
      <w:marBottom w:val="0"/>
      <w:divBdr>
        <w:top w:val="none" w:sz="0" w:space="0" w:color="auto"/>
        <w:left w:val="none" w:sz="0" w:space="0" w:color="auto"/>
        <w:bottom w:val="none" w:sz="0" w:space="0" w:color="auto"/>
        <w:right w:val="none" w:sz="0" w:space="0" w:color="auto"/>
      </w:divBdr>
    </w:div>
    <w:div w:id="1950697963">
      <w:bodyDiv w:val="1"/>
      <w:marLeft w:val="0"/>
      <w:marRight w:val="0"/>
      <w:marTop w:val="0"/>
      <w:marBottom w:val="0"/>
      <w:divBdr>
        <w:top w:val="none" w:sz="0" w:space="0" w:color="auto"/>
        <w:left w:val="none" w:sz="0" w:space="0" w:color="auto"/>
        <w:bottom w:val="none" w:sz="0" w:space="0" w:color="auto"/>
        <w:right w:val="none" w:sz="0" w:space="0" w:color="auto"/>
      </w:divBdr>
    </w:div>
    <w:div w:id="1962759368">
      <w:bodyDiv w:val="1"/>
      <w:marLeft w:val="0"/>
      <w:marRight w:val="0"/>
      <w:marTop w:val="0"/>
      <w:marBottom w:val="0"/>
      <w:divBdr>
        <w:top w:val="none" w:sz="0" w:space="0" w:color="auto"/>
        <w:left w:val="none" w:sz="0" w:space="0" w:color="auto"/>
        <w:bottom w:val="none" w:sz="0" w:space="0" w:color="auto"/>
        <w:right w:val="none" w:sz="0" w:space="0" w:color="auto"/>
      </w:divBdr>
    </w:div>
    <w:div w:id="2008970121">
      <w:bodyDiv w:val="1"/>
      <w:marLeft w:val="0"/>
      <w:marRight w:val="0"/>
      <w:marTop w:val="0"/>
      <w:marBottom w:val="0"/>
      <w:divBdr>
        <w:top w:val="none" w:sz="0" w:space="0" w:color="auto"/>
        <w:left w:val="none" w:sz="0" w:space="0" w:color="auto"/>
        <w:bottom w:val="none" w:sz="0" w:space="0" w:color="auto"/>
        <w:right w:val="none" w:sz="0" w:space="0" w:color="auto"/>
      </w:divBdr>
    </w:div>
    <w:div w:id="2080781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microsoft.com/office/2007/relationships/hdphoto" Target="media/hdphoto1.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B596-DD41-446A-988C-A4B3ED50C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8598</Words>
  <Characters>49011</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57495</CharactersWithSpaces>
  <SharedDoc>false</SharedDoc>
  <HLinks>
    <vt:vector size="6" baseType="variant">
      <vt:variant>
        <vt:i4>4718626</vt:i4>
      </vt:variant>
      <vt:variant>
        <vt:i4>6</vt:i4>
      </vt:variant>
      <vt:variant>
        <vt:i4>0</vt:i4>
      </vt:variant>
      <vt:variant>
        <vt:i4>5</vt:i4>
      </vt:variant>
      <vt:variant>
        <vt:lpwstr>mailto:suri.dwi@lecturer.unri.ac.id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Leila Vahedi Darmian</cp:lastModifiedBy>
  <cp:revision>3</cp:revision>
  <cp:lastPrinted>2026-02-06T20:15:00Z</cp:lastPrinted>
  <dcterms:created xsi:type="dcterms:W3CDTF">2026-06-16T02:13:00Z</dcterms:created>
  <dcterms:modified xsi:type="dcterms:W3CDTF">2026-06-16T02:28:00Z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e8c6babe-0ff6-3684-878f-f3b3c3e60aae</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